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ACJC/726/2022 vom 31. Mai 2022</w:t>
      </w:r>
    </w:p>
    <w:p>
      <w:r>
        <w:t>GE Cour de justice, 2022-05-31, FR</w:t>
      </w:r>
    </w:p>
    <w:p>
      <w:r>
        <w:rPr>
          <w:b/>
        </w:rPr>
        <w:t xml:space="preserve">Quelle: </w:t>
      </w:r>
      <w:r>
        <w:t>https://mcp.opencaselaw.ch/entscheid/ge_gerichte_ACJC_726_2022</w:t>
      </w:r>
    </w:p>
    <w:p>
      <w:r>
        <w:t>FR: GE_GERICHTE ACJC/726/2022 du 31 mai 2022</w:t>
      </w:r>
    </w:p>
    <w:p>
      <w:r>
        <w:t>IT: GE_GERICHTE ACJC/726/2022 del 31 maggio 2022</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Les conclusions, les allégations de faits et les preuves nouvelles sont irrecevables (art. 326 al. 1 CPC).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143 IV 380 consid. 1.1.1; 135 III 88 consid. 4.1; 134 III 224 consid. 5.2), à l'instar par exemple des indications figurant au Registre du commerce, accessibles par Internet (ATF 138 II 557 consid. 6.2; arrêt du Tribunal fédéral 4A_509/2014 du</w:t>
      </w:r>
    </w:p>
    <w:p>
      <w:r>
        <w:rPr>
          <w:b/>
        </w:rPr>
        <w:t>E. 1.4</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w:t>
      </w:r>
    </w:p>
    <w:p>
      <w:r>
        <w:rPr>
          <w:b/>
        </w:rPr>
        <w:t>E. 1.5</w:t>
      </w:r>
    </w:p>
    <w:p>
      <w:r>
        <w:t>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1er mai 2019 consid. 5.1.2, publié in SJ 2019 I p. 400).</w:t>
      </w:r>
    </w:p>
    <w:p>
      <w:r>
        <w:rPr>
          <w:b/>
        </w:rPr>
        <w:t>E. 1.6</w:t>
      </w:r>
    </w:p>
    <w:p>
      <w:r>
        <w:t>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Par ailleurs, la procédure de mainlevée d'opposition est soumise à la maxime des débats (art. 55 CPC, art. 255 CPC a contrario; arrêt du Tribunal fédéral 5A_734/2018 du 4 décembre 2018 consid. 4.3.5 et les références). Le juge doit examiner d'office l'existence et le caractère exécutoire du titre de mainlevée (ABBET/VEUILLET, La mainlevée de l'opposition, 2017, n. 103 ad art. 84 LP). 2. Le recourant reproche au Tribunal d'avoir prononcé la mainlevée provisoire de l'opposition. Il se plaint d'une violation des art. 165 CO et 82 LP. 2.1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w:t>
      </w:r>
    </w:p>
    <w:p>
      <w:r>
        <w:t>- 6/9 -</w:t>
      </w:r>
    </w:p>
    <w:p>
      <w:r>
        <w:t>C/15581/2021 volonté de payer au poursuivant, sans réserve ni condition, une somme d'argent déterminée, ou aisément déterminable, et exigible (ATF 139 III 297 consid. 2.3.1). L'acte de défaut de biens après saisie constitue un titre à la mainlevée provisoire au sens de l'art. 82 LP (art. 149 al. 2 LP). Pour que la reconnaissance de dette constitue un titre de mainlevée provisoire, il doit notamment y avoir identité entre le poursuivant et le créancier désigné dans le titre. Cette question est examinée d'office par le juge de la mainlevée (ATF 142 III 720 consid. 4.1; 139 III 444 précité consid. 4.1.1 et les références; arrêt du Tribunal fédéral 5A_940/2020 du 27 janvier 2021 consid. 3.1; GILLIERON, Commentaire de la loi fédérale sur la poursuite pour dettes et la faillite, 1999, n. 73ss ad art. 82 LP; ABBET/VEUILLET, op. cit., n. 129 ad art. 82 LP). 2.2 Lorsque la créance en poursuite résulte d'une reconnaissance de dette au sens de l'art. 82 LP et que le créancier poursuivant se prévaut d'une cession de créance (art. 164 al. 1 et 165 CO), la mainlevée provisoire peut être accordée à celui qui a pris la place du créancier désigné dans la reconnaissance de dette, pour autant que le transfert de la créance soit établi par titre (ATF 132 III 140 consid. 4.1.1; arrêt du Tribunal fédéral 5A_65/2020 du 7 juillet 2020 consid. 4.2.3.2). Par la cession, le titulaire d'une créance transfère son droit à une autre personne qui, de ce fait et sans le consentement du débiteur cédé, devient créancier en lieu et place du cédant (art. 164 al. 1 CO; PROBST, in Commentaire romand, Code des obligations I, 2012, n. 1 ad art. 164 CO). La cession n'est valable que si elle a été constatée par écrit (art. 165 al. 1 CO). Seule la signature du cédant est une condition de validité de la cession (ATF 130 III 417 consid. 3.3; arrêt du Tribunal fédéral 4A_616/2012 du 19 février 2013 consid. 5.1). L'exigence de forme instaurée par l'art. 165 CO tend à assurer la sécurité juridique et la transparence des transactions. Les créanciers du cédant et du cessionnaire, à l'instar du débiteur de la créance cédée, doivent être à même de déterminer qui est le titulaire de la créance à un moment donné. Ce but ne peut être atteint que si le contrat de cession comprend tous les éléments qui permettent aux tiers intéressés d'individualiser suffisamment la créance cédée. Il suffit certes que la créance soit déterminable; mais un tiers, qui ne connaît pas les circonstances de la cession, doit pouvoir identifier, à partir du seul acte de cession, à qui appartient la créance (ATF 122 III 361 consid. 4c p. 367/368; arrêt du Tribunal fédéral 4A_327/2012 du 29 août 2012 consid. 6.2). 2.3 En droit de la société anonyme, le conseil d'administration représente la société à l'égard des tiers (art. 718 al. 1, 1re phrase, CO). Selon l'art. 718 al. 2 CO, le conseil d'administration peut déléguer le pouvoir de représentation en particulier à un ou plusieurs de ses membres. Il est possible de prévoir un droit de</w:t>
      </w:r>
    </w:p>
    <w:p>
      <w:r>
        <w:t>- 7/9 -</w:t>
      </w:r>
    </w:p>
    <w:p>
      <w:r>
        <w:t>C/15581/2021 signature collectif à deux (art. 718a al. 2 CO). Le conseil d'administration doit communiquer au registre du commerce le nom des personnes qui ont le droit de représenter la société (art. 720 CO). 2.4 Selon l'art. 178 CPC, la partie qui invoque un titre doit en prouver l’authenticité si la partie adverse la conteste sur la base de motifs suffisants. 2.5 Dans le présent cas, l'intimée s'est fondée sur l'acte de défaut de biens délivré à C______, le 30 novembre 2001, comme titre de mainlevée provisoire. Sur celui-ci figure une cession de créance en faveur de D______ AG. Il n'est à juste titre pas contesté que la cession a été faite par écrit, de sorte qu'elle respecte sous cet aspect l'exigence prévue à l'art. 165 CO. Dite cession a été signée le 21 juin 2002 par H______ et I______. Comme l'admet le recourant, la première nommée disposait d'un pouvoir de représentation de C______, dès lors qu'elle était à cette époque dûment inscrite au Registre du commerce genevois (du ______ 1998 au _______ 2001), disposant d'une signature collective à deux. Contrairement à ce que soutient le recourant, I______ était également inscrit au Registre du commerce de F______ et disposait d'une signature collective à deux pour représenter C______ (de ______ 2001 à ______ 2003). Il s'ensuit que la cession a été signée valablement par deux représentants de C______. Le grief du recourant est en conséquence infondé. Le recourant soutient ensuite que le Tribunal a à tort retenu que l'intimée était cessionnaire de l'acte de défaut de biens. Par ailleurs, ce n'était pas l'acte de défaut de biens qui avait été cédé mais la créance incorporée dans celui-ci. Ces griefs ne résistent pas à l'examen. S'il est exact qu'il est mentionné au verso de l'acte de défaut de biens que la créance constatée dans celui-ci était cédée, cela ne signifie toutefois pas, comme l'allègue le recourant, que l'intimée devrait en sus de cet acte produire une reconnaissance de dette, ou un décompte du compte courant du crédit contracté à l'époque par le recourant. L'acte de défaut de biens vaut en effet à lui seul reconnaissance de dette. Enfin, c'est à bon droit que le Tribunal a considéré que la cessionnaire, au moment de la cession en juin 2002, était E______ AG. En effet, la seule société inscrite dans le registre officiel de F______ en ______ 2002 était la précitée. D______ AG était pour sa part inscrite dans le canton de Bâle, et avait été radiée en 1999. Une nouvelle société, portant la même raison sociale, a été inscrite dans le registre de Saint-Gall en 2020, soit près de 18 ans après la cession en cause. Par conséquent, il n'existe aucun doute quant au cessionnaire. E______ AG étant devenue G______ SA par suite de fusion, puis les actifs et passifs de cette dernière ayant été repris par l'intimée, cette dernière est bien titulaire de la créance en cause. 2.6 Entièrement infondé, le recours sera rejeté.</w:t>
      </w:r>
    </w:p>
    <w:p>
      <w:r>
        <w:t>- 8/9 -</w:t>
      </w:r>
    </w:p>
    <w:p>
      <w:r>
        <w:t>C/15581/2021 3. Les frais judiciaires de recours seront arrêtés à 1'125 fr. (art. 48 et 61 OELP) et ceux de la décision sur effet suspensif à 200 fr. (art. 26 et 38 RTFMC), soit 1'325 fr. au total, et partiellement compensés avec l'avance versée, acquise à l'Etat de Genève (art. 111 al. 1 CPC). Ils seront mis à la charge du recourant, qui succombe (art. 106 al. 1 CPC). Il sera en conséquence condamné à verser 200 fr. à l'Etat de Genève, soit pour lui les Services financiers du Pouvoir judiciaire. Il ne se pas alloué de dépens à l'intimée, les démarches effectuées ne le justifiant pas (art. 95 al. 3 let. c CPC). * * * * *</w:t>
      </w:r>
    </w:p>
    <w:p>
      <w:r>
        <w:t>- 9/9 -</w:t>
      </w:r>
    </w:p>
    <w:p>
      <w:r>
        <w:t>C/15581/2021 PAR CES MOTIFS, La Chambre civile : A la forme : Déclare recevable le recours interjeté le 11 février 2022 par A______ contre le jugement JTPI/1103/2022 rendu le 27 janvier 2022 par le Tribunal de première instance dans la cause C/15581/2021-18 SML. Au fond : Le rejette. Déboute les parties de toutes autres conclusions. Sur les frais : Arrête les frais judiciaires du recours à 1'325 fr., partiellement compensés avec l'avance de frais versée, acquise à l'Etat de Genève, et les met à la charge de A______. Condamne A______ à verser 200 fr. aux Services financiers du Pouvoir judiciaire. Dit qu'il n'est pas alloué de dépens de recours. Siégeant : Madame Pauline ERARD, présidente; Madame Nathalie LANDRY-BARTHE, Madame Fabienne GEISINGER-MARIETHOZ,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En l'espèce, les allégués nouveaux formés par le recourant sont irrecevables. Les extraits du Registre du commerce produits par lui portent sur un fait notoire, de sorte qu'il peut être tenu compte de leur contenu.</w:t>
      </w:r>
    </w:p>
    <w:p>
      <w:r>
        <w:t>- 5/9 -</w:t>
      </w:r>
    </w:p>
    <w:p>
      <w:r>
        <w:t>C/15581/2021 Il en va de même des extraits versés par l'intimée (pièce n. 1 à 3). En revanche, les pièces n. 4 à 6 ne sont pas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