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ACJC/726/2021 vom 4. Juni 2021</w:t>
      </w:r>
    </w:p>
    <w:p>
      <w:r>
        <w:t>GE Cour de justice, 2021-06-04, FR</w:t>
      </w:r>
    </w:p>
    <w:p>
      <w:r>
        <w:rPr>
          <w:b/>
        </w:rPr>
        <w:t xml:space="preserve">Quelle: </w:t>
      </w:r>
      <w:r>
        <w:t>https://mcp.opencaselaw.ch/entscheid/ge_gerichte_ACJC_726_2021</w:t>
      </w:r>
    </w:p>
    <w:p>
      <w:r>
        <w:t>FR: GE_GERICHTE ACJC/726/2021 du 4 juin 2021</w:t>
      </w:r>
    </w:p>
    <w:p>
      <w:r>
        <w:t>IT: GE_GERICHTE ACJC/726/2021 del 4 giugno 2021</w:t>
      </w:r>
    </w:p>
    <w:p>
      <w:pPr>
        <w:pStyle w:val="Heading2"/>
      </w:pPr>
      <w:r>
        <w:t>Erwägungen</w:t>
      </w:r>
    </w:p>
    <w:p>
      <w:r>
        <w:rPr>
          <w:b/>
        </w:rPr>
        <w:t>E. 1.1</w:t>
      </w:r>
    </w:p>
    <w:p>
      <w:r>
        <w:t>Contre une décision en matière de recevabilité d'une opposition tardive (art. 77 LP), seule est ouverte la voie du recours (art. 309 let. b ch. 2 et 319 let. a CPC). Le recours, écrit et motivé, doit être introduit auprès de l'instance de recours dans le délai de 10 jours (art. 321 al. 2 CPC), la procédure sommaire étant applicable (art. 251 let. b CPC). En l'espèce, formé dans le délai requis, le recours est recevable sous cet angle. 1.2.1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Lorsque la décision attaquée se fonde sur plusieurs motivations indépendantes, alternatives ou subsidiaires, toutes suffisantes à sceller le sort de la cause, l'appelant doit, sous peine d'irrecevabilité, démontrer que chacune d'entre elles est contraire au droit en se conformant aux exigences de motivation requises (ATF 138 III 728 consid. 3.4; 138 I 97 consid. 4.1.4; 133 IV 119 consid. 6.3; arrêts du Tribunal fédéral 5A_925/2015 du 4 mars 2016 consid. 3; 5A_966/2015</w:t>
      </w:r>
    </w:p>
    <w:p>
      <w:r>
        <w:t>- 6/9 -</w:t>
      </w:r>
    </w:p>
    <w:p>
      <w:r>
        <w:t>C/23923/2020 du 7 janvier 2016 consid. 3.1; 5A_599/2015 du 6 octobre 2015 consid. 3; 5A_505/2014 du 27 novembre 2014 consid. 3.1). La Cour examine d'office si les conditions de recevabilité sont remplies (art. 60 CPC). 1.2.2 En l'espèce, la décision attaquée se fonde sur une double motivation. Le Tribunal a en effet retenu, d'une part, que le délai de 10 jours pour former une opposition tardive n'avait pas été respecté, et, d'autre part, que les griefs formulés par la recourante concernaient le rapport de base, soit le contrat de prêt hypothécaire conclu avec la FONDATION E______, alors que seuls les motifs liés au changement de poursuivant, soit les exceptions en relation avec la personne du nouveau créancier (compensation) ou la validité du transfert, pouvaient être invoqués. Dans ses écritures de seconde instance, la recourante ne s'en prend à aucune de ces motivations et ne développe aucune critique de l'argumentation de la décision attaquée. Le simple renvoi à ses écritures antérieures de première instance n'est à cet égard pas suffisant.</w:t>
      </w:r>
    </w:p>
    <w:p>
      <w:r>
        <w:t>Il s'ensuit que le recours est irrecevable sous cet angle.</w:t>
      </w:r>
    </w:p>
    <w:p>
      <w:r>
        <w:t>Il est en revanche recevable en tant qu'il a trait à la violation du droit d'être entendu et à la constatation inexacte des faits.</w:t>
      </w:r>
    </w:p>
    <w:p>
      <w:r>
        <w:rPr>
          <w:b/>
        </w:rPr>
        <w:t>E. 1.3</w:t>
      </w:r>
    </w:p>
    <w:p>
      <w:r>
        <w:t>Dans le cadre d'un recours instruit en procédure sommaire (art. 251 let. a CPC), l'autorité a un plein pouvoir d'examen en droit, mais un pouvoir limité à l'arbitraire en fait, n'examinant que les griefs formulés et motivés par le recourant (art. 320 CPC; HOHL, Procédure civile, Tome II, 2010, n. 2307). La recourante fait valoir que le Tribunal a, à tort, retenu que F______ n'avait pas formé opposition au commandement de payer, poursuite n° 2______. Ce point n'a pas besoin d'être examiné plus avant, dès lors qu'il est sans incidence sur l'issue du litige. La recourante soutient également que le Tribunal a constaté les faits de manière inexacte, dans son ordonnance sur mesures provisionnelles, en considérant qu'elle avait retiré ses oppositions. Aucune ordonnance sur mesures provisionnelles n'a été rendue dans la présente cause, le grief concerne manifestement une autre procédure. Il tombe ainsi à faux.</w:t>
      </w:r>
    </w:p>
    <w:p>
      <w:r>
        <w:rPr>
          <w:b/>
        </w:rPr>
        <w:t>E. 2</w:t>
      </w:r>
    </w:p>
    <w:p>
      <w:r>
        <w:t>La recourante se plaint d'une violation de son droit d'être entendue, motifs pris de ce que le Tribunal ne lui a pas fixé de délai pour se déterminer sur l'écriture responsive de l'intimée, et de ce qu'elle n'a pas été valablement citée à comparaître à l'audience du 1er mars 2021.</w:t>
      </w:r>
    </w:p>
    <w:p>
      <w:r>
        <w:t>- 7/9 -</w:t>
      </w:r>
    </w:p>
    <w:p>
      <w:r>
        <w:t>C/23923/2020 2.1.1 La procédure sommaire est introduite par une requête (art. 252 al. 1 CPC). Selon l'art. 253 CPC, lorsque la requête ne paraît pas manifestement irrecevable ou infondée, le tribunal donne à la partie adverse l'occasion de se déterminer oralement ou par écrit. Cette disposition est une mise en œuvre du droit d'être entendu garanti par les art. 29 al. 2 Cst et 53 CPC. 2.1.2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Malgré son caractère formel, la garantie du droit d'être entendu n'est toutefois pas une fin en soi. En particulier,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En procédure sommaire, le juge de première instance n'a pas à ordonner de deuxième échange d'écritures, qui devrait rester exceptionnel, mais seulement à communiquer les prises de position afin de donner aux parties l'occasion d'éventuellement se déterminer et de respecter ainsi leur droit d'être entendues (ATF 138 III 252 consid. 2.1; arrêts du Tribunal fédéral 5A_82/2015 du 16 juin 2015 consid. 4.1 et 4.2.1; 5A_465/2014 du 20 août 2014 consid. 6.1 et les références citées). Le droit de répliquer n'impose pas au tribunal l'obligation d'impartir un délai au justiciable pour déposer d'éventuelles observations, mais il doit seulement lui laisser un temps suffisant pour faire usage de cette faculté (ATF 142 III 48 consid. 4.1.1; arrêts du Tribunal fédéral 5A_31/2020 du 6 juillet 2020 consid. 3. 5A_905/2016 du 30 mars 2017 consid. 2.2).</w:t>
      </w:r>
    </w:p>
    <w:p>
      <w:r>
        <w:t>- 8/9 -</w:t>
      </w:r>
    </w:p>
    <w:p>
      <w:r>
        <w:t>C/23923/2020</w:t>
      </w:r>
    </w:p>
    <w:p>
      <w:r>
        <w:rPr>
          <w:b/>
        </w:rPr>
        <w:t>E. 2.2</w:t>
      </w:r>
    </w:p>
    <w:p>
      <w:r>
        <w:t>En l'espèce, il est constant que le Tribunal a transmis à la recourante le mémoire de réponse expédié par l'intimée le 11 février 2021, dont elle a reçu un exemplaire le 16 février suivant. Conformément aux principes rappelés ci-avant, le Tribunal n'avait pas à ordonner un second échange d'écritures, pas plus qu'il ne devait fixer à la recourante un délai pour se déterminer sur cette écriture. Il appartenait en effet à la recourante, assistée d'un avocat, de se déterminer spontanément sur ce mémoire, le Tribunal ayant attendu plusieurs semaines, soit jusqu'au 16 mars 2021, avant de rendre sa décision. Ce faisant, le Tribunal a respecté le droit d'être entendue de la recourante. Par ailleurs, et contrairement à ce que soutient la recourante, le Tribunal n'a pas convoqué les parties à une audience, de sorte qu'on peine à discerner pour quel motif la recourante n'aurait pas été valablement citée à comparaître.</w:t>
      </w:r>
    </w:p>
    <w:p>
      <w:r>
        <w:rPr>
          <w:b/>
        </w:rPr>
        <w:t>E. 2.3</w:t>
      </w:r>
    </w:p>
    <w:p>
      <w:r>
        <w:t>Par conséquent, le grief de la recourante est infondé. Faute d'autres griefs formulés contre la décision d'irrecevabilité de l'opposition tardive (cf. consid. 1.2 supra), le recours sera rejeté.</w:t>
      </w:r>
    </w:p>
    <w:p>
      <w:r>
        <w:rPr>
          <w:b/>
        </w:rPr>
        <w:t>E. 3</w:t>
      </w:r>
    </w:p>
    <w:p>
      <w:r>
        <w:t>Les frais judiciaires du recours seront mis à la charge de la recourante, qui succombe (art. 106 al. 1 CPC). Ils seront arrêtés à 2'250 fr. (art. 48 et 61 OELP), montant comprenant également l'émolument de décision sur effet suspensif, et entièrement compensés avec l'avance fournie, qui reste acquise à l'Etat de Genève (art. 111 al. 1 CPC). La recourante versera en outre 2'000 fr. à l'intimée à titre de dépens, TVA et débours inclus (art. 85, 89 et 90 RTFMC, art. 25 et 26 LaCC). * * * * * PAR CES MOTIFS, La Chambre civile : Rejette, dans la mesure de sa recevabilité, le recours interjeté le 29 mars 2021 par A______ SA contre le jugement JTPI/3650/2021 rendu le 16 mars 2021 par le Tribunal de première instance dans la cause C/23923/2020-22 SML. Déboute les parties de toutes autres conclusions. Sur les frais : Arrête les frais judiciaires du recours à 2'250 fr., compensés avec l'avance de frais fournie, acquise à l'Etat de Genève, et les met à la charge de A______ SA.</w:t>
      </w:r>
    </w:p>
    <w:p>
      <w:r>
        <w:t>- 9/9 -</w:t>
      </w:r>
    </w:p>
    <w:p>
      <w:r>
        <w:t>C/23923/2020 Condamne A______ SA à verser à B______ SA 2'000 fr. à titre de dépens de recours. Siégeant : Madame Pauline ERARD, présidente; Madame Sylvie DROIN et Madame Nathalie LANDRY-BARTHE,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