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ACJC/725/2020 vom 29. Mai 2020</w:t>
      </w:r>
    </w:p>
    <w:p>
      <w:r>
        <w:t>GE Cour de justice, 2020-05-29, FR</w:t>
      </w:r>
    </w:p>
    <w:p>
      <w:r>
        <w:rPr>
          <w:b/>
        </w:rPr>
        <w:t xml:space="preserve">Quelle: </w:t>
      </w:r>
      <w:r>
        <w:t>https://mcp.opencaselaw.ch/entscheid/ge_gerichte_ACJC_725_2020</w:t>
      </w:r>
    </w:p>
    <w:p>
      <w:r>
        <w:t>FR: GE_GERICHTE ACJC/725/2020 du 29 mai 2020</w:t>
      </w:r>
    </w:p>
    <w:p>
      <w:r>
        <w:t>IT: GE_GERICHTE ACJC/725/2020 del 29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L'évacuation requise était fondée devant le Tribunal sur l'art. 641 al. 2 CC. L'action en revendication au sens de cette disposition constitue une contestation de nature pécuniaire dont la valeur litigieuse correspond à la valeur de l'objet revendiqué (arrêt du Tribunal fédéral 4A_18/2011 du 5 avril 2011 consid. 1.1). En l'espèce, la valeur du studio est supérieure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 bailleresse a produit de nouvelles pièces et sollicite, si celles-ci devaient être déclarées irrecevables, l'apport d'une autre procédure.</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Cela étant dans la procédure en cas clair, les exigences posées par l'art. 257 al. 1 CPC doivent être satisfaites en première instance déjà. Si le premier juge éconduit la partie demanderesse en application de l'art. 257 al. 3 CPC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w:t>
      </w:r>
    </w:p>
    <w:p>
      <w:r>
        <w:rPr>
          <w:b/>
        </w:rPr>
        <w:t>E. 1.3.2</w:t>
      </w:r>
    </w:p>
    <w:p>
      <w:r>
        <w:t>Au vu de la jurisprudence, les pièces nouvelles produites par l'appelante sont irrecevables et il ne saurait être ordonné l'apport de la procédure requise par elle. Les pièces produites, tirée de la procédure dont elle demande l'apport, ne paraissent pas, en tout état de cause, déterminantes pour l'issue du litige.</w:t>
      </w:r>
    </w:p>
    <w:p>
      <w:r>
        <w:t>- 5/7 -</w:t>
      </w:r>
    </w:p>
    <w:p>
      <w:r>
        <w:t>C/23508/2019</w:t>
      </w:r>
    </w:p>
    <w:p>
      <w:r>
        <w:rPr>
          <w:b/>
        </w:rPr>
        <w:t>E. 1.4</w:t>
      </w:r>
    </w:p>
    <w:p>
      <w:r>
        <w:t>L'appel peut être formé pour violation du droit (art. 310 let. a CPC) et constatation inexacte des faits (art. 310 let. b CPC). L'instance d'appel dispose ainsi d'un plein pouvoir d'examen de la cause en fait et en droit.</w:t>
      </w:r>
    </w:p>
    <w:p>
      <w:r>
        <w:rPr>
          <w:b/>
        </w:rPr>
        <w:t>E. 2</w:t>
      </w:r>
    </w:p>
    <w:p>
      <w:r>
        <w:t>L'appelante soutient que lors de l'audience devant le Tribunal, à laquelle le Tribunal avait également convoqué le locataire dans le cadre de la requête déposée à son encontre, l'intimée avait déclaré s'acquitter d'un sous-loyer, dont elle avait découvert qu'il était supérieur au loyer principal. Le locataire n'avait pas contesté les propos de l'intimée. Un contrat oral de sous-location avait donc été conclu entre le locataire et l'intimée et le Tribunal des baux et loyers était donc compétent, conformément à l'arrêt de la Cour ACJC/646/2019 du 6 mai 2019.</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p. 25 s.; 138 III 620 consid. 5.1.1 p. 622).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Si le défendeur fait valoir des objections motivées et concluantes ("substanziiert und schlüssig"), qui ne peuvent être écartées immédiatement et qui sont de nature à ébranler la conviction du juge, la procédure du cas clair est irrecevable (ATF 141 III 23 consid. 3.2 p. 26; 138 III 620 consid. 5.1.1 p. 621 et les arrêts cités). La situation juridique est claire lorsque l'application de la norme au cas concret s'impose de façon évidente au regard du texte légal ou sur la base d'une doctrine et d'une jurisprudence éprouvées (ATF 138 III 123 consid. 2.1.2 p. 126, 620 consid. 5.1.1 p. 621, 728 consid. 3.3 p. 734). En règle générale (cf. cependant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138 III 123 consid. 2.1.2 p. 126; arrêt du Tribunal fédéral 4A_273/2012 du 30 octobre 2012 consid. 5.1.2, non publié in ATF 138 III 620).</w:t>
      </w:r>
    </w:p>
    <w:p>
      <w:r>
        <w:t>- 6/7 -</w:t>
      </w:r>
    </w:p>
    <w:p>
      <w:r>
        <w:t>C/23508/2019 Selon la jurisprudence de la Cour (ACJC/646/2019 du 6 mai 2019 consid. 2.1.7), le Tribunal des baux et loyers est compétent à raison de la matière pour statuer sur tout litige relatif aux baux et loyers opposant un bailleur principal à un sous- locataire (restitution des locaux, évacuation, exécution de l'évacuation, demande en paiement d'une indemnité pour occupation illicite, etc.).</w:t>
      </w:r>
    </w:p>
    <w:p>
      <w:r>
        <w:rPr>
          <w:b/>
        </w:rPr>
        <w:t>E. 2.2</w:t>
      </w:r>
    </w:p>
    <w:p>
      <w:r>
        <w:t>En l'espèce, se pose la question de la manière dont l'intimée a pris possession du studio et de la nature de la relation entre le locataire et l'intimée, en particulier de l'éventuelle conclusion d'un contrat de sous-location alléguée par l'appelante.</w:t>
      </w:r>
    </w:p>
    <w:p>
      <w:r>
        <w:t>A cet égard, il ressort du courrier du locataire du 23 avril 2019 que le studio a été "pris par une fille" et qu'il s'était dès lors adressé à la police, ce qui permet de retenir qu'il n'a pas volontairement cédé l'usage des locaux; il n'a fait aucune mention d'un contrat de sous-location qu'il aurait conclu avec l'intimée. Il ressort certes des propos de cette dernière lors de l'audience devant le Tribunal qu'elle paierait un sous-loyer et elle a fait mention d'une relation de sous-location dans le cadre de laquelle elle aurait été "escroquée". Elle n'a toutefois pas précisé qui était le "sous-bailleur" et n'a notamment pas allégué qu'il s'agirait du locataire qui, selon les dires de l'appelante, était assis à côté d'elle lors de l'audience, ni que c'était à lui qu'elle payait le "sous-loyer". Les circonstances dans lesquelles l'intimée occupe le studio ne sont pas clairement établies et il ne peut en tout cas être retenu de manière suffisamment certaine des déclarations du locataire et de l'intimée que cette dernière serait liée au locataire par une relation de sous- location au sens de l'art. 262 CO. L'état de fait n'est pas clair est c'est dès lors à bon droit que le Tribunal a considéré que les conditions pour le prononcé de l'évacuation selon la procédure de l'art. 257 CPC n'étaient pas réunies. Le jugement attaqué sera donc confirmé.</w:t>
      </w:r>
    </w:p>
    <w:p>
      <w:r>
        <w:rPr>
          <w:b/>
        </w:rPr>
        <w:t>E. 3</w:t>
      </w:r>
    </w:p>
    <w:p>
      <w:r>
        <w:t>A teneur de l'art. 22 al. 1 LaCC, il n'est pas prélevé de frais dans les causes soumises à la juridiction des baux et loyers (ATF 139 III 182 consid. 2.6). * * * * *</w:t>
      </w:r>
    </w:p>
    <w:p>
      <w:r>
        <w:t>- 7/7 -</w:t>
      </w:r>
    </w:p>
    <w:p>
      <w:r>
        <w:t>C/23508/2019</w:t>
      </w:r>
    </w:p>
    <w:p>
      <w:r>
        <w:t>PAR CES MOTIFS, La Chambre des baux et loyers : A la forme : Déclare recevable l'appel interjeté le 31 janvier 2020 par A______ contre le jugement JTBL/1262/2019 rendu le 10 décembre 2019 par le Tribunal des baux et loyers dans la cause C/23508/2019-7-SE.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