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ACJC/725/2014 vom 20. Juni 2014</w:t>
      </w:r>
    </w:p>
    <w:p>
      <w:r>
        <w:t>GE Cour de justice, 2014-06-20, FR</w:t>
      </w:r>
    </w:p>
    <w:p>
      <w:r>
        <w:rPr>
          <w:b/>
        </w:rPr>
        <w:t xml:space="preserve">Quelle: </w:t>
      </w:r>
      <w:r>
        <w:t>https://mcp.opencaselaw.ch/entscheid/ge_gerichte_ACJC_725_2014</w:t>
      </w:r>
    </w:p>
    <w:p>
      <w:r>
        <w:t>FR: GE_GERICHTE ACJC/725/2014 du 20 juin 2014</w:t>
      </w:r>
    </w:p>
    <w:p>
      <w:r>
        <w:t>IT: GE_GERICHTE ACJC/725/2014 del 20 giugno 2014</w:t>
      </w:r>
    </w:p>
    <w:p>
      <w:pPr>
        <w:pStyle w:val="Heading2"/>
      </w:pPr>
      <w:r>
        <w:t>Erwägungen</w:t>
      </w:r>
    </w:p>
    <w:p>
      <w:r>
        <w:rPr>
          <w:b/>
        </w:rPr>
        <w:t>E. 1</w:t>
      </w:r>
    </w:p>
    <w:p>
      <w:r>
        <w:t>L'appel est recevable contre les décisions de première instance sur mesures provi- sionnelles (art. 308 al. 1 let. b CPC) dans les causes non patrimoniales ou dont la valeur litigieuse, au dernier état des conclusions de première instance, est de 10'000 fr. au moins (art. 308 al. 2 CPC).</w:t>
      </w:r>
    </w:p>
    <w:p>
      <w:r>
        <w:t>- 7/13 -</w:t>
      </w:r>
    </w:p>
    <w:p>
      <w:r>
        <w:t>C/11739/2013 En l'espèce, l'appel porte sur la contribution d'entretien due aux enfants mineurs et à l'épouse, de sorte qu'il s'agit d'une affaire patrimoniale. Compte tenu de la quo- tité des contributions contestée en première instance, la valeur litigieuse est supé- rieure à 10'000 fr. (1'400 fr. par mois x 12 mois x 20 ans = 336'000 fr.; cf. art. 91 al. 1 CPC; cf. ég. TAPPY, Les voies de droit du nouveau Code de procédure civile, in JdT 2010 III 115, p. 126; FRESARD, Commentaire de la LTF, Berne 2009, n. 18 ad art. 51). L'appel, écrit et motivé, doit être introduit auprès de l'instance d'appel dans les dix jours à compter de la notification de la décision attaquée, s'agissant de mesures provisionnelles qui sont soumises à la procédure sommaire (art. 248 let. d, 311 al. 1 et 314 al. 1 CPC). Formé dans le délai (art. 142 al. 1 et 3 CPC) et selon la forme prescrits par la loi par une partie qui y a intérêt (art. 59 al. 2 let. a CPC), l'appel formé est recevable.</w:t>
      </w:r>
    </w:p>
    <w:p>
      <w:r>
        <w:rPr>
          <w:b/>
        </w:rPr>
        <w:t>E. 2</w:t>
      </w:r>
    </w:p>
    <w:p>
      <w:r>
        <w:t>S'agissant d'un appel, la Cour revoit la cause avec un plein pouvoir d'examen (art. 310 CPC). Pour les questions relatives aux enfants mineurs, la maxime d'office s'applique à l'objet du procès et la maxime inquisitoire à l'établissement des faits. Ainsi, le juge n'est pas lié par les conclusions des parties. Il peut attribuer non seulement moins que ce qui est requis dans les conclusions, mais aussi autre chose, voire statuer en l'absence de conclusions (art. 296 al. 1 et 3 CPC; ATF 128 III 411 consid. 3.1; 119 II 201 consid. 1, JT 1996 I 202; arrêts du Tribunal fédéral 5A_169/2012 du 18 juillet 2012 consid. 3.3 et 5A_361/2011 du 27 novembre 2012 consid. 5.3.1).</w:t>
      </w:r>
    </w:p>
    <w:p>
      <w:r>
        <w:rPr>
          <w:b/>
        </w:rPr>
        <w:t>E. 3</w:t>
      </w:r>
    </w:p>
    <w:p>
      <w:r>
        <w:t>La Cour examine, en principe, d'office la recevabilité des pièces produites en ap- pel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(arrêts publiés ACJC/480/2014 du 11 avril 2014 consid. 1.4; ACJC/473/2014 du 11 avril 2014 consid. 2.1; ACJC/384/2014 du 28 mars 2014 consid. 1.3.2). En l'espèce, les pièces nouvelles produites par les parties devant la Cour de céans permettent de déterminer leur situation financière et personnelle, éléments néces- saires pour statuer sur le montant de la contribution à l'entretien de la famille qui</w:t>
      </w:r>
    </w:p>
    <w:p>
      <w:r>
        <w:t>- 8/13 -</w:t>
      </w:r>
    </w:p>
    <w:p>
      <w:r>
        <w:t>C/11739/2013 comporte deux enfants mineurs. Ces pièces, ainsi que les éléments de fait qu'elles comportent, seront par conséquent pris en considération.</w:t>
      </w:r>
    </w:p>
    <w:p>
      <w:r>
        <w:rPr>
          <w:b/>
        </w:rPr>
        <w:t>E. 4</w:t>
      </w:r>
    </w:p>
    <w:p>
      <w:r>
        <w:t>Dans le cadre d'une procédure de divorce (art. 274 ss CPC), le tribunal ordonne les mesures provisionnelles nécessaires en vertu de l'art. 276 al. 1 CPC; les dis- positions régissant la protection de l'union conjugale sont dès lors applicables par analogie. Ces mesures sont ordonnées à la suite d'une procédure sommaire (ATF 127 III 474 consid. 2b/bb; arrêts du Tribunal fédéral 5A_12/2013 du 8 mars 2013 consid. 2.2; 5A_661/2011 du 10 février 2012 consid. 2.3; HOHL, Procédure civile, tome II, 2ème éd., 2010, n. 1900 à 1904). La cognition du juge des mesures provisionnelles est limitée à la simple vrai- semblance des faits et à un examen sommaire du droit. Les moyens de preuve sont limités à ceux qui sont immédiatement disponibles (arrêt du Tribunal fédéral 5A_12/2013 précité).</w:t>
      </w:r>
    </w:p>
    <w:p>
      <w:r>
        <w:rPr>
          <w:b/>
        </w:rPr>
        <w:t>E. 5</w:t>
      </w:r>
    </w:p>
    <w:p>
      <w:r>
        <w:t>L'appelante reproche au premier juge d'avoir admis que la situation financière des parties avait changé de manière essentielle et durable, notamment en retenant que la charge fiscale de l'intimé avait été suffisamment prouvée par la seule pro- duction d'un bulletin d'acomptes provisionnels sans avoir effectué les investi- gations nécessaires sur ce point, violant ainsi la maxime d'office.</w:t>
      </w:r>
    </w:p>
    <w:p>
      <w:r>
        <w:rPr>
          <w:b/>
        </w:rPr>
        <w:t>E. 5.1</w:t>
      </w:r>
    </w:p>
    <w:p>
      <w:r>
        <w:t>Selon l'art. 276 al. 2 CPC, les décisions rendues par le juge des mesures pro- tectrices sont maintenues pendant la procédure de divorce (1ère phrase). Le juge du divorce est compétent pour prononcer leur modification ou leur révocation (art. 276 al. 2 2ème phrase CPC) en ordonnant les mesures provisionnelles néces- saires (art. 276 al. 1 1ère phrase CPC). Pour ce faire, il applique par analogie les dispositions régissant la protection de l'union conjugale (art. 276 al. 1 2ème phrase CPC). Une fois ordonnées, des mesures protectrices de l'union conjugale ou des mesures provisionnelles dans la procédure en divorce ne peuvent être modifiées qu'aux conditions de l'art. 179 CC (applicable directement pour les premières, par renvoi de l'art. 276 al. 1 CPC pour les secondes; ATF 129 III 60 consid. 2 = JdT 2003 I 45; plus récemment : arrêts du Tribunal fédéral 5A_547/2012 du 14 mars 2013 consid. 4.2; 5A_147/2012 du 26 avril 2012 consid. 4.2.1). Aux termes de l'art. 179 al. 1 1ère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Ces mesures ne peuvent être modifiées que si, depuis leur prononcé, les circonstances de fait ont changé d'une manière essen-</w:t>
      </w:r>
    </w:p>
    <w:p>
      <w:r>
        <w:t>- 9/13 -</w:t>
      </w:r>
    </w:p>
    <w:p>
      <w:r>
        <w:t>C/11739/2013 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(ATF 129 III 60 consid. 2; arrêt du Tribunal fédéral 5A_287/2013 du 5 août 2013 consid. 2). En revanche, les parties ne peuvent pas invoquer, pour fonder leur requête en modification, une mauvaise appréciation des circonstances initiales, que le motif relève du droit ou de l'établissement des faits allégués sur la base des preuves déjà offertes (arrêts du Tribunal fédéral 5A_400/2012 du 25 février 2013 consid. 4.1; 5A_511/2010 du 4 février 2011 consid. 2.1; 5A_618/2009 du 14 décembre 2009 consid. 3.2.2). Cette procédure n'a pas pour but de corriger le premier jugement, mais de l'adapter aux cir- constances nouvelles (ATF 120 II 177 consid. 3a; arrêt du Tribunal fédéral 5A_860/2013 du 29 janvier 2014 consid. 4.2). Le moment déterminant pour apprécier si des circonstances nouvelles se sont pro- duites est la date du dépôt de la demande de nouvelles mesures (ATF 137 III 604 consid. 4.1.1; arrêt du Tribunal fédéral 5A_763/2013 du 11 avril 2014 consid. 2.1). Un état de fait futur incertain et hypothétique ne constitue pas une cause de modification. Des éléments concrets relatifs à une modification pro- chaine des circonstances peuvent par contre être pris en considération, afin d'évi- ter autant que possible une nouvelle procédure ultérieure en modification (ATF 120 II 285 consid. 4b; arrêt 5C.78/2001 du 24 août 2001 consid. 2a, non publié dans l'ATF 127 III 503; arrêt 5A_352/2010 du 29 octobre 2010 consid. 5.2, in FamPra.ch 2011 p. 230). Le moment déterminant pour apprécier si des cir- constances nouvelles se sont produites est ainsi la date du dépôt de la demande de modification du jugement de divorce (arrêt du Tribunal fédéral 5A_487/2010 du 3 mars 2011 consid. 2.1.1). Seules les charges effectives, dont le débirentier s'acquitte réellement, doivent être prises en compte (ATF 121 III 20 consid. 3a et les arrêts cités; arrêt du Tribunal fédéral 5A_396/2013 du 26 février 2014 consid 6.2.1).</w:t>
      </w:r>
    </w:p>
    <w:p>
      <w:r>
        <w:rPr>
          <w:b/>
        </w:rPr>
        <w:t>E. 5.2</w:t>
      </w:r>
    </w:p>
    <w:p>
      <w:r>
        <w:t>En l'espèce, la Cour de justice avait estimé, dans son arrêt du 11 mai 2012, à 2'700 fr. par mois les impôts du couple et a condamné l'intimé à les prendre en charge. De fait, les impôts de l'intimé se sont élevés, en 2011, à 40'651 fr., soit un montant mensuel de 3'387 fr., fondés sur un revenu net imposable (après déduction) de 143'158 fr. L'intimé a, en sus, dû prendre en charge les impôts de l'appelante, d'un montant de 7'258 fr. 10, cette dernière s'étant laissée taxer d'office. Cela a représenté une charge de 3'992 fr. par mois, soit une différence mensuelle de l'ordre de 1'200 fr. avec le montant retenu par la décision sur mesures protectrices de l'union conjugale.</w:t>
      </w:r>
    </w:p>
    <w:p>
      <w:r>
        <w:t>- 10/13 -</w:t>
      </w:r>
    </w:p>
    <w:p>
      <w:r>
        <w:t>C/11739/2013 En 2012, l'intimé a perçu un salaire annuel net de 183'960 fr. Quand bien même on ne dispose pas de la déclaration fiscale de l'intimé, il appert que son revenu net imposable est du même ordre que celui de 2011. On peut donc en inférer que la charge fiscale pour l'année 2012 était de l'ordre de celle de 2011, ce qu'attestent d'ailleurs les acomptes provisionnels 2013 de 3'309 fr. pour l'ICC et 755 fr. pour l'IFD. Ainsi, ces acomptes, mis en relation avec le certificat de salaire 2012 de l'intimé, suffisent à rendre vraisemblable que sa charge fiscale 2012 n'avait pas diminué, mais était à tout le moins de l'ordre de celle de 2011, soit 3'387 fr. Il s'ensuit que c'est à juste titre que le premier juge a retenu que la charge fiscale sur laquelle s'était fondée la Cour de justice (2'700 fr.) s'est révélée inexacte dans une mesure qui justifiait qu'il soit entré en matière sur la demande de mesures pro- visionnelles de l'intimé.</w:t>
      </w:r>
    </w:p>
    <w:p>
      <w:r>
        <w:rPr>
          <w:b/>
        </w:rPr>
        <w:t>E. 6.1</w:t>
      </w:r>
    </w:p>
    <w:p>
      <w:r>
        <w:t>Lorsqu'il admet que les conditions requises pour la modification des mesures protectrices de l'union conjugale sont remplies, le juge doit alors fixer à nouveau la contribution d'entretien, après avoir actualisé tous les éléments pris en compte pour le calcul dans le jugement précédent et litigieux devant lui (ATF 138 III 289 consid. 11.1.1; arrêt du Tribunal fédéral 5A_547/2012 du 14 mars 2013 consid. 4.3).</w:t>
      </w:r>
    </w:p>
    <w:p>
      <w:r>
        <w:rPr>
          <w:b/>
        </w:rPr>
        <w:t>E. 6.2</w:t>
      </w:r>
    </w:p>
    <w:p>
      <w:r>
        <w:t>Un conjoint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137 III 102 consid. 4.2.2.2; 128 III 4 consid. 4a; arrêt du Tribunal fédéral 5A_825/2013 du 28 mars 2014 consid. 7.3.2). La capacité de pourvoir soi-même à son entretien est susceptible d'être limitée totalement ou partiellement par la charge que représente la garde des enfants. En principe, même en mesures protectrices de l'union conjugale, on ne peut exiger d'un époux la prise ou la reprise d'une activité lucrative à un taux de 50% avant que le plus jeune des enfants n'ait atteint l'âge de dix ans révolus, et de 100% avant qu'il n'ait atteint l'âge de seize ans révolus (arrêt du Tribunal fédéral 5A_319/2013 du 17 octobre 2013 consid. 2.3.3, publié in FamPra.ch 2014 p. 177; cf. aussi, ATF 115 II 6 consid. 3c).</w:t>
      </w:r>
    </w:p>
    <w:p>
      <w:r>
        <w:rPr>
          <w:b/>
        </w:rPr>
        <w:t>E. 6.3</w:t>
      </w:r>
    </w:p>
    <w:p>
      <w:r>
        <w:t>S'agissant de l'actualisation des éléments en vue de la fixation de la contri- bution à l'entretien de la famille, l'intimé relève que son épouse pourrait aug- menter son temps de travail puisque les deux enfants sont désormais scolarisés. En l'occurrence, la décision sur mesures protectrices de l'union conjugale avait retenu que les revenus de l'intimée étaient insignifiants.</w:t>
      </w:r>
    </w:p>
    <w:p>
      <w:r>
        <w:t>- 11/13 -</w:t>
      </w:r>
    </w:p>
    <w:p>
      <w:r>
        <w:t>C/11739/2013 Depuis le prononcé de cette décision, en mai 2012, la plus jeune des enfants a été scolarisée. Toutefois ce fait était prévisible et la Cour de justice n'avait pas retenu que l'épouse devrait augmenter son taux d'activité dès la scolarisation du deuxième enfant dès lors que les seuls revenus de l'intimé permettaient de main- tenir le train de vie des époux. Cette situation n'a pas changé. A cela s'ajoute que les deux enfants des époux sont encore jeunes - six et sept ans - de sorte que la présence accrue de leur mère est nécessaire. Ainsi, on ne saurait, en l'état, attendre de l'appelante qu'elle reprenne une activité lucrative, étant précisé que le peu d'activité qu'elle exerce à ce jour s'avère déficitaire à teneur de ses comptes 2012. Le licenciement de l'intimé, pour le 30 juin 2014, est un fait nouveau intervenu après le dépôt de la requête de mesures provisionnelles. Il ne peut dès lors, à teneur de la jurisprudence sus-rappelée, être pris en considération, la situation étant incertaine et hypothétique dès lors que le nouveau revenu de l'appelant n'est pas déterminé à ce jour.</w:t>
      </w:r>
    </w:p>
    <w:p>
      <w:r>
        <w:rPr>
          <w:b/>
        </w:rPr>
        <w:t>E. 6.4</w:t>
      </w:r>
    </w:p>
    <w:p>
      <w:r>
        <w:t>Hormis le montant des impôts de l'intimé, qui a déjà été discuté ci-devant (consid. 5.2), l'appelante ne critique pas le calcul effectué par le premier juge, qui a repris la méthode de calcul utilisée par la Cour de justice dans son arrêt du</w:t>
      </w:r>
    </w:p>
    <w:p>
      <w:r>
        <w:rPr>
          <w:b/>
        </w:rPr>
        <w:t>E. 11</w:t>
      </w:r>
    </w:p>
    <w:p>
      <w:r>
        <w:t>mai 2012 en y insérant la charge fiscale de l'intimé corrigée (3'387 fr.) et 200 fr. de charge fiscale évaluée pour l'appelante dès le 1er janvier 2014, celle-ci étant tenue de régler ses impôts dès cette date. A cet égard, on relèvera que l'éva- luation du Tribunal était large, l'appelante ayant déclaré pour 2012 un revenu an- nuel net de 25'578 fr. Les parties n'ayant pas critiqué ce montant, il sera repris, de même que les autres revenus et charges retenus par la Cour de justice dans son arrêt du 11 mai 2012, lesquels n'ont pas été contestés par les parties. Il s'ensuit que la contribution à l'entretien fixée par le Tribunal à 4'100 fr. dès le 30 mai 2013 tient compte des impôts réactualisés de l'intimé ainsi que des impôts de l'appelante encore dus par ce dernier (5'000 fr. - 687 fr. [soit 3'387 fr. - 2'700 fr.] - 200 fr. = 4'113 fr., arrondis à 4'100 fr. Dès le 1er janvier 2014, ce montant est augmenté des impôts de l'appelante, que cette dernière doit désormais assumer seule, de sorte que la contribution à l'en- tretien s'élève à 4'300 fr. (4'100 fr. + 200 fr. = 4'300 fr.). Partant, le jugement entrepris sera confirmé. 7. 7.1 Les frais judiciaires de la procédure d'appel seront arrêtés à 1'000 fr. (art. 95 al. 1 let. a, 104 al. 1, 105 al. 1 CPC; art. 37 et 31 du Règlement fixant le tarif des frais en matière civile, RTFMC - E 1 05.10), compensés avec l'avance du même montant versée par l'appelante, qui reste acquise à l'Etat (art. 111 al. 1 CPC). Au vu de l'issue du litige, les frais seront mis à la charge de l'appelante, qui suc- combe intégralement (art. 106 al. 1 CPC).</w:t>
      </w:r>
    </w:p>
    <w:p>
      <w:r>
        <w:t>- 12/13 -</w:t>
      </w:r>
    </w:p>
    <w:p>
      <w:r>
        <w:t>C/11739/2013 7.2 Le litige relevant du droit de la famille, chaque partie supportera ses propres dépens (art. 95 al. 3 let. c et 107 al. 1 let. c CPC). 8. Le présent arrêt, statuant sur mesures provisionnelles, est susceptible d'un recours en matière civile au Tribunal fédéral (art. 72 al. 1 LTF), la valeur litigieuse étant supérieure à 30'000 fr. au sens de l'art. 74 al. 1 let. b LTF (cf. art. 51 al. 4 LTF et consid. 1.1 ci-dessus). Les moyens sont toutefois limités à la violation des droits constitutionnels (art. 98 LTF). * * * * *</w:t>
      </w:r>
    </w:p>
    <w:p>
      <w:r>
        <w:t>- 13/13 -</w:t>
      </w:r>
    </w:p>
    <w:p>
      <w:r>
        <w:t>C/11739/2013 PAR CES MOTIFS, La Chambre civile : A la forme : Déclare recevable l'appel interjeté par A______ contre l'ordonnance OTPI/1468/2013 rendu le 30 octobre 2013 par le Tribunal de première instance dans la cause C/11739/2013-9. Au fond : Confirme ladite ordonnance. Déboute les parties de toutes autres conclusions. Sur les frais : Arrête les frais judiciaires d'appel à 1'000 fr., les met à la charge de A______ et dit qu'ils sont entièrement compensés avec l'avance effectuée cette dernière, qui reste acquise à l'Etat. Dit que chaque partie supporte ses propres dépens. Siégeant : Monsieur Jean-Marc STRUBIN, président; Madame Nathalie LANDRY-BARTHE et Madame Daniela CHIABUDINI,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indiquées au consid. 7 supra.</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