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ACJC/723/2020 vom 29. Mai 2020</w:t>
      </w:r>
    </w:p>
    <w:p>
      <w:r>
        <w:t>GE Cour de justice, 2020-05-29, FR</w:t>
      </w:r>
    </w:p>
    <w:p>
      <w:r>
        <w:rPr>
          <w:b/>
        </w:rPr>
        <w:t xml:space="preserve">Quelle: </w:t>
      </w:r>
      <w:r>
        <w:t>https://mcp.opencaselaw.ch/entscheid/ge_gerichte_ACJC_723_2020</w:t>
      </w:r>
    </w:p>
    <w:p>
      <w:r>
        <w:t>FR: GE_GERICHTE ACJC/723/2020 du 29 mai 2020</w:t>
      </w:r>
    </w:p>
    <w:p>
      <w:r>
        <w:t>IT: GE_GERICHTE ACJC/723/2020 del 29 maggio 2020</w:t>
      </w:r>
    </w:p>
    <w:p>
      <w:pPr>
        <w:pStyle w:val="Heading2"/>
      </w:pPr>
      <w:r>
        <w:t>Erwägungen</w:t>
      </w:r>
    </w:p>
    <w:p>
      <w:r>
        <w:rPr>
          <w:b/>
        </w:rPr>
        <w:t>E. 1</w:t>
      </w:r>
    </w:p>
    <w:p>
      <w:r>
        <w:t>let. e CO (ATF 137 III 389 consid. 1.1; 136 III 196 consid. 1.1; arrêt du Tribunal fédéral 4A_388/2016 du 15 mars 2017 consid. 1).</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Dans une contestation portant sur la validité d'une résiliation de bail, la valeur litigieuse est égale au loyer de la période minimum pendant laquelle le contrat</w:t>
      </w:r>
    </w:p>
    <w:p>
      <w:r>
        <w:t>- 5/8 -</w:t>
      </w:r>
    </w:p>
    <w:p>
      <w:r>
        <w:t>C/17/2019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w:t>
      </w:r>
    </w:p>
    <w:p>
      <w:r>
        <w:rPr>
          <w:b/>
        </w:rPr>
        <w:t>E. 1.2</w:t>
      </w:r>
    </w:p>
    <w:p>
      <w:r>
        <w:t>En l'espèce, au vu des conclusions portant sur la résiliation du bail et sur un arriéré de loyer supérieur à 300'000 fr., il est manifeste que la voie de l'appel est ouverte.</w:t>
      </w:r>
    </w:p>
    <w:p>
      <w:r>
        <w:rPr>
          <w:b/>
        </w:rPr>
        <w:t>E. 1.3</w:t>
      </w:r>
    </w:p>
    <w:p>
      <w:r>
        <w:t>L'appel a été interjeté dans le délai et suivant la forme prescrits par la loi (art. 130, 131, 311 al. 1 CPC). Il est ainsi recevable.</w:t>
      </w:r>
    </w:p>
    <w:p>
      <w:r>
        <w:rPr>
          <w:b/>
        </w:rPr>
        <w:t>E. 1.4</w:t>
      </w:r>
    </w:p>
    <w:p>
      <w:r>
        <w:t>Il en va de même du recours formé contre l'exécution directe de l'évacuation (art. 309 let. a et 319 let. a CPC).</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reproche au Tribunal d'avoir admis que le cas était clair. Elle soutient qu'une instruction était nécessaire sur la question du montant en souffrance, au vu des accords entre les parties,</w:t>
      </w:r>
    </w:p>
    <w:p>
      <w:r>
        <w:rPr>
          <w:b/>
        </w:rPr>
        <w:t>E. 2.1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w:t>
      </w:r>
    </w:p>
    <w:p>
      <w:r>
        <w:t>- 6/8 -</w:t>
      </w:r>
    </w:p>
    <w:p>
      <w:r>
        <w:t>C/17/2019 qu'ils ne se prêtent pas à un examen en procédure sommaire (ATF 141 III 23 consid. 3.2; 138 III 620 consid. 5; arrêts du Tribunal fédéral 4A_551/2016 du 3 novembre 2016 consid. 7; 4A_417/2015 du 15 octobre 2015 consid. 4). L'art. 257d CO autorise le bailleur à résilier le contrat lorsque le locataire, en dépit d'une sommation, tarde à acquitter des loyers ou frais accessoires échus.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Ce délai sera de dix jours au moins et de trente jours au moins pour les baux d'habitations. Si ces conditions ne sont pas réalisées, le locataire peut faire valoir l'invalidité du congé à l'encontre de l'action en évacuation des locaux qui lui est plus tard intentée par le bailleur (ATF 122 III 92 consid. 2d; 121 III 156 consid. 1c/aa; arrêt du Tribunal fédéral 4A_592/2012 du 9 septembre 2013 consid. 5). La contestation du locataire est susceptible de remettre en cause le caractère liquide de la prétention, par exemple lorsque le locataire conteste avoir reçu l'avis comminatoire imposé par l'art. 257d CO et que le bailleur ne peut pas démontrer sa réception. Il en va de même si le bailleur ne peut démontrer avoir envoyé une formule officielle de résiliation (BOHNET/CONOD, La fin du bail et l'expulsion du locataire, in 18ème Séminaire sur le droit du bail, 2014, p. 118, no 172-173).</w:t>
      </w:r>
    </w:p>
    <w:p>
      <w:r>
        <w:rPr>
          <w:b/>
        </w:rPr>
        <w:t>E. 2.2</w:t>
      </w:r>
    </w:p>
    <w:p>
      <w:r>
        <w:t>En l'espèce, il est constant que l'intimée a notifié à l'appelante un premier congé, en septembre 2018, qu'elle a ensuite retiré, en convenant qu'elle avait accepté, par courrier du 14 février 2017, un paiement mensuel - et non trimestriel comme originairement stipulé entre les parties - même si, selon son allégué non contesté, pareille échéance mensuelle n'avait pas été appliquée. L'appelante fait grand cas de cette circonstance, sans que l'on saisisse en quoi celle-ci porterait sur le second congé, objet de la présente procédure. Elle tente par ailleurs, à bien la comprendre, de lier l'accord portant sur la modification de l'échéance du loyer, admis par l'intimée, à l'accord de déduire de l'arriéré dû le montant de la garantie de loyer de 165'000 fr.; l'évocation conjointe par ses soins de ces deux éléments dans un courriel adressé à son conseil ne saurait créer un tel amalgame, alors que le courrier du 14 février 2017 est muet sur l'utilisation de la garantie de loyer dont seule la quotité est évoquée.</w:t>
      </w:r>
    </w:p>
    <w:p>
      <w:r>
        <w:t>L'appelante ne parvient ainsi pas à rendre vraisemblable, contrairement à ce qu'elle soutient, que le montant visé dans l'avis comminatoire était inexact parce qu'il ne tenait pas compte de la déduction du montant de la garantie de loyer. Elle ne discute pas plus avant la réalisation des conditions de l'art. 257d CO.</w:t>
      </w:r>
    </w:p>
    <w:p>
      <w:r>
        <w:t>- 7/8 -</w:t>
      </w:r>
    </w:p>
    <w:p>
      <w:r>
        <w:t>C/17/2019</w:t>
      </w:r>
    </w:p>
    <w:p>
      <w:r>
        <w:t>L'appelante fait encore valoir la faillite à laquelle elle s'est trouvée exposée, sans toutefois expliquer en quoi ce fait pourrait faire échec à la procédure intentée par l'intimée.</w:t>
      </w:r>
    </w:p>
    <w:p>
      <w:r>
        <w:t>Les moyens opposés par l'appelante à la requête de l'intimée sont ainsi inconsistants et impropres à ébranler la conviction de la Cour; ainsi que l'a retenu à raison le Tribunal, la situation était ainsi claire, de sorte qu'il a été donné droit aux conclusions de l'intimée.</w:t>
      </w:r>
    </w:p>
    <w:p>
      <w:r>
        <w:t>L'appelante n'adresse pour le surplus aucun grief spécifique à l'exécution directe accordée à bon droit par les premiers juges, de sorte que le recours n'est pas fondé.</w:t>
      </w:r>
    </w:p>
    <w:p>
      <w:r>
        <w:t>En ce qui concerne le montant de la créance réclamée par l'intimée, l'appelante se prévaut de paiements de 40'000 fr. par mois depuis le 1er mars 2019 pour affirmer qu'elle resterait devoir 254'012 fr. 50 au maximum. Il résulte cependant du décompte produit par l'intimée que lesdits paiements ont été dûment portés en compte, sans affecter pour autant le total dû, supérieur aux conclusions prises par l'intimée.</w:t>
      </w:r>
    </w:p>
    <w:p>
      <w:r>
        <w:t>Au vu de ce qui précède, la décision entreprise sera confirmée.</w:t>
      </w:r>
    </w:p>
    <w:p>
      <w:r>
        <w:rPr>
          <w:b/>
        </w:rPr>
        <w:t>E. 3</w:t>
      </w:r>
    </w:p>
    <w:p>
      <w:r>
        <w:t>A teneur de l'art. 22 al. 1 LaCC, il n'est pas prélevé de frais dans les causes soumises à la juridiction des baux et loyers (ATF 139 III 182 consid. 2.6). * * * * *</w:t>
      </w:r>
    </w:p>
    <w:p>
      <w:r>
        <w:t>- 8/8 -</w:t>
      </w:r>
    </w:p>
    <w:p>
      <w:r>
        <w:t>C/17/2019</w:t>
      </w:r>
    </w:p>
    <w:p>
      <w:r>
        <w:t>PAR CES MOTIFS, La Chambre des baux et loyers : A la forme : Déclare recevables l'appel et le recours formés le 19 décembre 2019 par A______ SA contre le jugement JTBL/1209/2019 rendu le 12 décembre 2019 par le Tribunal des baux et loyers dans la cause C/17/2019-8-SE. Au fond : Confirme ce jugement.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