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ACJC/722/2022 vom 22. März 2022</w:t>
      </w:r>
    </w:p>
    <w:p>
      <w:r>
        <w:t>GE Cour de justice, 2022-03-22, FR</w:t>
      </w:r>
    </w:p>
    <w:p>
      <w:r>
        <w:rPr>
          <w:b/>
        </w:rPr>
        <w:t xml:space="preserve">Quelle: </w:t>
      </w:r>
      <w:r>
        <w:t>https://mcp.opencaselaw.ch/entscheid/ge_gerichte_ACJC_722_2022</w:t>
      </w:r>
    </w:p>
    <w:p>
      <w:r>
        <w:t>FR: GE_GERICHTE ACJC/722/2022 du 22 mars 2022</w:t>
      </w:r>
    </w:p>
    <w:p>
      <w:r>
        <w:t>IT: GE_GERICHTE ACJC/722/2022 del 22 marzo 2022</w:t>
      </w:r>
    </w:p>
    <w:p>
      <w:pPr>
        <w:pStyle w:val="Heading2"/>
      </w:pPr>
      <w:r>
        <w:t>Volltext</w:t>
      </w:r>
    </w:p>
    <w:p>
      <w:r>
        <w:t>Le présent arrêt est communiqué aux parties par plis recommandés du 30 mai 2022.</w:t>
      </w:r>
    </w:p>
    <w:p>
      <w:r>
        <w:t>REPUBLIQUE ET</w:t>
      </w:r>
    </w:p>
    <w:p>
      <w:r>
        <w:t>CANTON DE GENEVE POUVOIR JUDICIAIRE C/25308/2021 ACJC/722/2022 ARRÊT DE LA COUR DE JUSTICE Chambre civile DU LUNDI 30 MAI 2022</w:t>
      </w:r>
    </w:p>
    <w:p>
      <w:r>
        <w:t>Entre Monsieur A______, domicilié ______, appelant d'une ordonnance rendue par la 15ème Chambre du Tribunal de première instance de ce canton le 22 mars 2022, comparant par Me Pascal JUNOD, avocat, rue de la Rôtisserie 6, case postale 3763, 1211 Genève 3, en l'Étude duquel il fait élection de domicile, et Madame B______, domiciliée ______, intimée, comparant par Me Rachel DUC, avocate, Interdroit avocat-e-s Sàrl, boulevard de Saint-Georges 72, case postale, 1211 Genève 8, en l'Étude de laquelle elle fait élection de domicile.</w:t>
      </w:r>
    </w:p>
    <w:p>
      <w:r>
        <w:t>- 2/4 -</w:t>
      </w:r>
    </w:p>
    <w:p>
      <w:r>
        <w:t>C/25308/2021 Attendu, EN FAIT, que par ordonnance du 22 mars 2022, le Tribunal de première instance, statuant sur mesures provisionnelles par voie de procédure sommaire, a notamment condamné A______ à verser à B______, par mois et d'avance, la somme de 3'000 fr. à titre de contribution à son propre entretien, dès le 1er mars 2022 (ch. 11 du dispositif); Que par acte expédié le 8 avril 2022, A______ a formé appel contre cette ordonnance, concluant, principalement à l'annulation de sa condamnation à verser la somme de 3'000 fr. à titre de contribution à l'entretien de B______ et à ce qu'il soit constaté qu'elle exerce une activité lucrative lui permettant de subvenir à ses besoins et à ce que toute contribution en sa faveur lui soit refusée; Que A______ a également conclu à l'octroi de l'effet suspensif à son appel; qu'il ne ressort pas de ses explications pour quel motif l'effet suspensif devrait être accordé à son appel et n'invoque notamment aucun préjudice difficilement réparable qu'il pourrait subir; Que B______ a conclu au déboutement de A______ à cet égard; Considérant, EN DROIT,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w:t>
      </w:r>
    </w:p>
    <w:p>
      <w:r>
        <w:t>- 3/4 -</w:t>
      </w:r>
    </w:p>
    <w:p>
      <w:r>
        <w:t>C/25308/2021 pourrait pas obtenir le remboursement du montant payé au cas où elle obtiendrait gain de cause au fond (arrêt du Tribunal fédéral 5A_708/2013 du 14 mai 2014 consid. 1.1);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l'appelant n'invoque aucun préjudice difficilement réparable que pourrait lui causer l'ordonnance attaquée; qu'il soutient devoir supporter de nombreux frais pour s'installer dans son nouveau logement, ce qui ne suffit pas à rendre vraisemblable un tel préjudice; qu'un tel préjudice n'est par ailleurs pas manifeste au vu des considérations du Tribunal selon lesquelles l'appelant dispose d'un solde de 4'292 fr. après paiement de ses propres charges et des contributions d'entretien des trois enfants; Que la requête d'effet suspensif sera dès lors rejetée, dans la mesure où elle est recevable; Qu'il sera statué sur les frais et dépens liés à la présente décision avec l'arrêt au fond (art. 104 al. 3 CPC). * * * * *</w:t>
      </w:r>
    </w:p>
    <w:p>
      <w:r>
        <w:t>- 4/4 -</w:t>
      </w:r>
    </w:p>
    <w:p>
      <w:r>
        <w:t>C/25308/2021 PAR CES MOTIFS, La Chambre civile : Statuant sur requête de suspension du caractère exécutoire de l'ordonnance entreprise : Rejette, dans la mesure où elle est recevable, la requête formée par A______ tendant à suspendre le caractère exécutoire de l'ordonnance OTPI/169/2022 rendue le 22 mars 2022 par le Tribunal de première instance dans la cause C/25308/2021. Dit qu'il sera statué sur les frais liés à la présente décision dans l'arrêt rendu sur le fond. Siégeant : Monsieur Laurent RIEBEN, président; Madame Camille LESTEVEN,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