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ACJC/720/2015 vom 19. Juni 2015</w:t>
      </w:r>
    </w:p>
    <w:p>
      <w:r>
        <w:t>GE Cour de justice, 2015-06-19, FR</w:t>
      </w:r>
    </w:p>
    <w:p>
      <w:r>
        <w:rPr>
          <w:b/>
        </w:rPr>
        <w:t xml:space="preserve">Quelle: </w:t>
      </w:r>
      <w:r>
        <w:t>https://mcp.opencaselaw.ch/entscheid/ge_gerichte_ACJC_720_2015</w:t>
      </w:r>
    </w:p>
    <w:p>
      <w:r>
        <w:t>FR: GE_GERICHTE ACJC/720/2015 du 19 juin 2015</w:t>
      </w:r>
    </w:p>
    <w:p>
      <w:r>
        <w:t>IT: GE_GERICHTE ACJC/720/2015 del 19 giugno 2015</w:t>
      </w:r>
    </w:p>
    <w:p>
      <w:pPr>
        <w:pStyle w:val="Heading2"/>
      </w:pPr>
      <w:r>
        <w:t>Erwägungen</w:t>
      </w:r>
    </w:p>
    <w:p>
      <w:r>
        <w:rPr>
          <w:b/>
        </w:rPr>
        <w:t>E. 1</w:t>
      </w:r>
    </w:p>
    <w:p>
      <w:r>
        <w:t>La recevabilité du recours ayant déjà été tranchée par ordonnance du 5 mai 2015, il n'y a pas lieu d'y revenir.</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w:t>
      </w:r>
    </w:p>
    <w:p>
      <w:r>
        <w:t>- 4/8 -</w:t>
      </w:r>
    </w:p>
    <w:p>
      <w:r>
        <w:t>C/19346/2014</w:t>
      </w:r>
    </w:p>
    <w:p>
      <w:r>
        <w:t>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w:t>
      </w:r>
    </w:p>
    <w:p>
      <w:r>
        <w:rPr>
          <w:b/>
        </w:rPr>
        <w:t>E. 2.2</w:t>
      </w:r>
    </w:p>
    <w:p>
      <w:r>
        <w:t>La pièce nouvelle produite par l'intimé sera déclarée irrecevable, ainsi que les allégués de fait s'y rapportant.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w:t>
      </w:r>
    </w:p>
    <w:p>
      <w:r>
        <w:t>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w:t>
      </w:r>
    </w:p>
    <w:p>
      <w:r>
        <w:t>- 5/8 -</w:t>
      </w:r>
    </w:p>
    <w:p>
      <w:r>
        <w:t>C/19346/2014 art. 82 LP). L'acte doit également comporter la signature du débiteur ou de son représentant.</w:t>
      </w:r>
    </w:p>
    <w:p>
      <w:r>
        <w:t>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w:t>
      </w:r>
    </w:p>
    <w:p>
      <w:r>
        <w:t>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25.11.1999; JdT 1969 II 32).</w:t>
      </w:r>
    </w:p>
    <w:p>
      <w:r>
        <w:rPr>
          <w:b/>
        </w:rPr>
        <w:t>E. 3.3</w:t>
      </w:r>
    </w:p>
    <w:p>
      <w:r>
        <w:t>A teneur de l'art. 82 al. 1 LP, le créancier dont la poursuite se fonde sur une reconnaissance de dette constatée par acte authentique ou sous seing privé peut requérir la mainlevée provisoire.</w:t>
      </w:r>
    </w:p>
    <w:p>
      <w:r>
        <w:t>Le juge doit vérifier d'office l'existence matérielle d'une reconnaissance de dette (arrêt du Tribunal fédéral 5A_367/2007 du 15 octobre 2007 consid. 3.1).</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w:t>
      </w:r>
    </w:p>
    <w:p>
      <w:r>
        <w:t>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(art. 80ss LP) (SCHWEIZER, Code de procédure civile commenté, Bâle, 2011, n. 2 et 3 ad art. 180 CPC).</w:t>
      </w:r>
    </w:p>
    <w:p>
      <w:r>
        <w:rPr>
          <w:b/>
        </w:rPr>
        <w:t>E. 3.4</w:t>
      </w:r>
    </w:p>
    <w:p>
      <w:r>
        <w:t>En principe, le créancier n'a pas d'autres preuves à apporter que la reconnaissance de dette. L'exactitude des faits qu'elle énonce est présumée légalement jusqu'à preuve du contraire, s'il s'agit d'un acte authentique (art. 9 al. 2 CC). En revanche, dans le cas d'un acte sous seing privé, il n'y a qu'une présomption de l'homme, même si la signature du débiteur est présumée vraie (SCHMIDT, in Commentaire romand, Poursuite et faillite, Bâle, 2005, n. 28 ad art. 82 LP). L'authenticité d'une signature doit être présumée conformément au principe de la bonne foi exprimé par l'art. 3 al. 1 CC (PANCHAUD/CAPREZ, op. cit., § 4 ch. 1; GILLIERON, op. cit., n. 777 p. 125).</w:t>
      </w:r>
    </w:p>
    <w:p>
      <w:r>
        <w:t>- 6/8 -</w:t>
      </w:r>
    </w:p>
    <w:p>
      <w:r>
        <w:t>C/19346/2014</w:t>
      </w:r>
    </w:p>
    <w:p>
      <w:r>
        <w:t>Lorsque le poursuivi conteste l'authenticité des signatures,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(ATF 132 III 140 consid. 4.1.2 et la doctrine citée).</w:t>
      </w:r>
    </w:p>
    <w:p>
      <w:r>
        <w:t>Le juge prononce la mainlevée provisoire si la falsification n'est pas rendue vraisemblable séance tenante. Lorsque le juge doit ainsi statuer selon la simple vraisemblance, il doit, en se basant sur des éléments objectifs, avoir l'impression que le fait invoqué s'est produit, sans pour autant devoir exclure la possibilité qu'il ait pu se dérouler autrement (ATF 132 III 140 consid. 4.1.2; 130 III 321 consid. 3.3; 104 Ia 408 consid. 4 p; arrêt du Tribunal fédéral 5P.333/1998 du 12 novembre 1998 consid. 2c).</w:t>
      </w:r>
    </w:p>
    <w:p>
      <w:r>
        <w:t>La vraisemblance va dès lors au-delà de la simple probabilité, le poursuivi devant démontrer, au moyen de pièces ou d'autres moyens de preuve immédiatement disponibles, qu'il est plus vraisemblable que la signature soit fausse qu'authentique (ATF 132 III 140 consid. 4.1.2).</w:t>
      </w:r>
    </w:p>
    <w:p>
      <w:r>
        <w:rPr>
          <w:b/>
        </w:rPr>
        <w:t>E. 3.5</w:t>
      </w:r>
    </w:p>
    <w:p>
      <w:r>
        <w:t>En l'espèce, le recourant a invoqué le caractère faux de la signature figurant sur la reconnaissance de dette du 11 août 2012, produite par l'intimé comme titre de mainlevée dans le cadre de la présente procédure. A l'appui de cette contestation, le recourant a fourni plusieurs pièces, notamment des photocopies couleur de son autorisation d'établissement à Genève, de son passeport polonais et de son permis de conduire suisse. La signature apposée sur lesdits documents apparaît différente de celle de la reconnaissance de dette. En effet, ladite signature comporte, à la fin, un point séparé de celle-ci, alors que celle apposée sur la reconnaissance de dette se termine par un cercle elliptique penché vers la droite et ne comporte pas de point. Par ailleurs, la partie finale de la signature figurant sur la procuration établie par le recourant en faveur de son conseil semble similaire à celle des pièces susmentionnées. Ces pièces permettent de retenir qu'il est plus vraisemblable que la signature apposée sur la reconnaissance de dette soit fausse qu'authentique.</w:t>
      </w:r>
    </w:p>
    <w:p>
      <w:r>
        <w:t>Il s'ensuit que l'intimé n'a pas démontré être au bénéfice d'une reconnaissance de dette signée par le poursuivi, lui permettant d'obtenir la mainlevée provisoire de l'opposition, au sens de l'art. 82 LP.</w:t>
      </w:r>
    </w:p>
    <w:p>
      <w:r>
        <w:rPr>
          <w:b/>
        </w:rPr>
        <w:t>E. 3.6</w:t>
      </w:r>
    </w:p>
    <w:p>
      <w:r>
        <w:t>Par conséquent, le jugement attaqué, qui retenait la solution inverse, sera annulé, et l'intimé sera débouté des fins de sa requête de mainlevée provisoire.</w:t>
      </w:r>
    </w:p>
    <w:p>
      <w:r>
        <w:rPr>
          <w:b/>
        </w:rPr>
        <w:t>E. 4</w:t>
      </w:r>
    </w:p>
    <w:p>
      <w:r>
        <w:t>L'intimée, qui succombe, sera condamnée aux frais des deux instances (art. 106 al. 1 et 3 CPC).</w:t>
      </w:r>
    </w:p>
    <w:p>
      <w:r>
        <w:t>- 7/8 -</w:t>
      </w:r>
    </w:p>
    <w:p>
      <w:r>
        <w:t>C/19346/2014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Partant, l'émolument de la présente décision sera fixé à 1'125 fr. et mis à la charge de l'intimé, compensé avec les avances de frais fournies par les parties, acquises à l'Etat (art. 111 al. 1 CPC). L'intimé sera en conséquence condamné à verser le montant de 1'125 fr. au recourant.</w:t>
      </w:r>
    </w:p>
    <w:p>
      <w:r>
        <w:t>Il sera également condamné aux dépens du recourant assisté d'un conseil devant le Tribunal et la Cour, arrêtés à 3'000 fr., débours et TVA compris, pour les deux instances (art. 96 et 105 al. 2 CPC; art. 85, 89 et 90 du règlement fixant le tarif des greffes en matières civile du 22 décembre 2010, E 1 05.10; art. 25 et 26 LaCC; art. 25 LTVA).</w:t>
      </w:r>
    </w:p>
    <w:p>
      <w:r>
        <w:rPr>
          <w:b/>
        </w:rPr>
        <w:t>E. 5</w:t>
      </w:r>
    </w:p>
    <w:p>
      <w:r>
        <w:t>La valeur litigieuse, au sens de l'art. 51 LTF, est supérieure à 30'000 fr. * * * * *</w:t>
      </w:r>
    </w:p>
    <w:p>
      <w:r>
        <w:t>- 8/8 -</w:t>
      </w:r>
    </w:p>
    <w:p>
      <w:r>
        <w:t>C/19346/2014 PAR CES MOTIFS, La Chambre civile : Au fond : Annule le jugement JTPI/2094/2015 rendu le 19 février 2015 par le Tribunal de première instance dans la cause C/19346/2014-2 SML. Cela fait et statuant à nouveau : Rejette la requête de mainlevée provisoire de l'opposition formée au commandement de payer, poursuite n° 1_____formée le 24 septembre 2014 par B_____. Déboute les parties de toutes autres conclusions. Sur les frais de première instance et de recours : Arrête les frais judiciaires à 1'875 fr., compensés avec les avances de frais fournies par les parties, acquises à l'Etat. Les met à la charge d'B_____. Condamne B_____ à verser 1'125 fr. à ce titre à A_____. Condamne B_____ à verser 3'000 fr. à A_____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