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ACJC/71/2020 vom 14. Januar 2020</w:t>
      </w:r>
    </w:p>
    <w:p>
      <w:r>
        <w:t>GE Cour de justice, 2020-01-14, FR</w:t>
      </w:r>
    </w:p>
    <w:p>
      <w:r>
        <w:rPr>
          <w:b/>
        </w:rPr>
        <w:t xml:space="preserve">Quelle: </w:t>
      </w:r>
      <w:r>
        <w:t>https://mcp.opencaselaw.ch/entscheid/ge_gerichte_ACJC_71_2020</w:t>
      </w:r>
    </w:p>
    <w:p>
      <w:r>
        <w:t>FR: GE_GERICHTE ACJC/71/2020 du 14 janvier 2020</w:t>
      </w:r>
    </w:p>
    <w:p>
      <w:r>
        <w:t>IT: GE_GERICHTE ACJC/71/2020 del 14 gennaio 2020</w:t>
      </w:r>
    </w:p>
    <w:p>
      <w:pPr>
        <w:pStyle w:val="Heading2"/>
      </w:pPr>
      <w:r>
        <w:t>Erwägungen</w:t>
      </w:r>
    </w:p>
    <w:p>
      <w:r>
        <w:rPr>
          <w:b/>
        </w:rPr>
        <w:t>E. 1.1</w:t>
      </w:r>
    </w:p>
    <w:p>
      <w:r>
        <w:t>L'appel est recevable pour avoir été interjeté auprès de l'autorité compétente (art. 120 al. 1 let. a LOJ), dans le délai utile de 30 jours (art. 142 al. 1, 145 al. 1 let. b et 311 al. 1 CPC) et selon la forme prescrite par la loi (art. 130, 131 et 311 CPC), à l'encontre d'une décision finale de première instance (art. 308 al. 1 let. a CPC) qui statue sur les droits parentaux, le droit de visite et l'entretien d'un enfant mineur, soit une affaire de nature non pécuniaire dans son ensemble (parmi plusieurs : arrêt du Tribunal fédéral 5A_153/2019 du 3 septembre 2019 consid. 1).</w:t>
      </w:r>
    </w:p>
    <w:p>
      <w:r>
        <w:t>- 7/14 -</w:t>
      </w:r>
    </w:p>
    <w:p>
      <w:r>
        <w:t>C/23921/2017</w:t>
      </w:r>
    </w:p>
    <w:p>
      <w:r>
        <w:t>Sont également recevables l'écriture responsive ainsi que les écritures subséquentes des parties, puisqu'expédiées à la Cour dans le respect des délais prévus par la loi (art. 312 al. 2 CPC), respectivement impartis à cet effet.</w:t>
      </w:r>
    </w:p>
    <w:p>
      <w:r>
        <w:rPr>
          <w:b/>
        </w:rPr>
        <w:t>E. 1.2</w:t>
      </w:r>
    </w:p>
    <w:p>
      <w:r>
        <w:t>La Cour revoit la cause avec un plein pouvoir d'examen (art. 310 CPC).</w:t>
      </w:r>
    </w:p>
    <w:p>
      <w:r>
        <w:rPr>
          <w:b/>
        </w:rPr>
        <w:t>E. 1.3</w:t>
      </w:r>
    </w:p>
    <w:p>
      <w:r>
        <w:t>La présente cause est soumise aux maximes d'office et inquisitoire illimitée (art. 296 al. 1 et 3 CPC). Dans ce cadre, la Cour n'est pas liée par les conclusions des parties (art. 58 al. 2 CPC), ni par l'interdiction de la reformatio in pejus (ATF 129 III 417 consid. 2.1.1; arrêt du Tribunal fédéral 5A_562/2009 du 18 janvier 2010 consid. 3.1), et elle établit les faits d'office (art. 55 al. 2 CPC).</w:t>
      </w:r>
    </w:p>
    <w:p>
      <w:r>
        <w:rPr>
          <w:b/>
        </w:rPr>
        <w:t>E. 1.4</w:t>
      </w:r>
    </w:p>
    <w:p>
      <w:r>
        <w:t>Les pièces nouvelles produites en appel, utiles à la détermination du sort de l'enfant et à son entretien, sont recevables. En effet, dans les causes de droit matrimonial concernant les enfants mineurs, soumises à la maxime inquisitoire illimitée, les pièces nouvelles sont recevables, même si les conditions de l'art. 317 al. 1 CPC ne sont pas réunies (ATF 144 III 349 consid. 4.2.1).</w:t>
      </w:r>
    </w:p>
    <w:p>
      <w:r>
        <w:rPr>
          <w:b/>
        </w:rPr>
        <w:t>E. 2</w:t>
      </w:r>
    </w:p>
    <w:p>
      <w:r>
        <w:t>Le présent litige présente des éléments d'extranéité en raison des nationalités étrangères des parties et de leur enfant.</w:t>
      </w:r>
    </w:p>
    <w:p>
      <w:r>
        <w:rPr>
          <w:b/>
        </w:rPr>
        <w:t>E. 2.1</w:t>
      </w:r>
    </w:p>
    <w:p>
      <w:r>
        <w:t>En matière internationale, la compétence des autorités judiciaires suisses et le droit applicable sont régis par la loi fédérale du 18 décembre 1987 sur le droit international privé (LDIP; RS 291), sous réserve des traités internationaux (art. 1 al. 1 let. a et b et al. 2 LDIP).</w:t>
      </w:r>
    </w:p>
    <w:p>
      <w:r>
        <w:rPr>
          <w:b/>
        </w:rPr>
        <w:t>E. 2.1.1</w:t>
      </w:r>
    </w:p>
    <w:p>
      <w:r>
        <w:t>L'attribution de l'autorité parentale et le règlement des relations personnelles entrent dans le champ d'application de la Convention de La Haye du 19 octobre 1996 concernant la compétence, la loi applicable, la reconnaissance, l'exécution et la coopération en matière de responsabilité parentale et de mesures de protection des enfants (cf. art. 3 let. a et b CLaH 96; RS 0.211.231.011), qui s'applique à titre de droit international dans les relations entre la Suisse et un Etat ayant ratifié la Convention, et en tant que droit national aux cas présentant un lien avec un Etat n'ayant ratifié ni la CLaH 96 ni la Convention de La Haye du 5 octobre 1961 concernant la compétence des autorités et la loi applicable en matière de protection des mineurs (CLaH 61; RS 0.211.231.01), compte tenu du renvoi général de l'art. 85 al. 1 LDIP. L'art. 5 ch. 1 CLaH 96, applicable aux relations avec les Etats contractants et non contractants, pose le principe selon lequel les autorités de l'Etat de la résidence habituelle de l'enfant sont compétentes pour prendre des mesures tendant à sa protection. Dans ce cadre, elles appliquent leur loi (art. 15 ch. 1 CLaH 96).</w:t>
      </w:r>
    </w:p>
    <w:p>
      <w:r>
        <w:rPr>
          <w:b/>
        </w:rPr>
        <w:t>E. 2.1.2</w:t>
      </w:r>
    </w:p>
    <w:p>
      <w:r>
        <w:t>L'obligation alimentaire entre, quant à elle, dans le champ d'application de la Convention de Lugano révisée du 30 octobre 2007 (CL; RS 0.275.12), à laquelle</w:t>
      </w:r>
    </w:p>
    <w:p>
      <w:r>
        <w:t>- 8/14 -</w:t>
      </w:r>
    </w:p>
    <w:p>
      <w:r>
        <w:t>C/23921/2017 la Suisse, le Royaume-Uni et l'Irlande ont adhéré. Cette convention permet d'attraire les personnes domiciliées sur le territoire d'un Etat lié par la convention devant le tribunal du lieu où le créancier d'aliments a son domicile ou sa résidence habituelle (art. 5 ch. 2 let. a CL). Dans les relations entre la Suisse et un Etat n'ayant pas adhéré à la Convention de Lugano, la LDIP fonde la compétence des autorités suisses compte tenu du domicile de l'appelant (art. 59 let. a et 64 al. 1 LDIP). S'agissant du droit applicable, la Convention de La Haye du 2 octobre 1973 sur la loi applicable aux obligations alimentaires (CLaH 73; RS 0.211.213.01), qui s'applique erga omnes (cf. art. 3 CLaH 73), stipule que la loi interne de la résidence habituelle du créancier d'aliments régit les obligations alimentaires (art. 4 CLaH 73).</w:t>
      </w:r>
    </w:p>
    <w:p>
      <w:r>
        <w:rPr>
          <w:b/>
        </w:rPr>
        <w:t>E. 2.1.3</w:t>
      </w:r>
    </w:p>
    <w:p>
      <w:r>
        <w:t>La notion de résidence habituelle doit être déterminée de manière autonome et uniforme dans le cadre des Conventions de La Haye relatives aux enfants, notamment par rapport à l'art. 20 LDIP (arrêts du Tribunal fédéral 5A_1021/2017 du 8 mars 2018 consid. 5.1.2; 5A_584/20147 du 3 septembre 2014 consid. 5.1.1; 5A_346/2012 du 12 juin 2012 consid. 4.1). Elle est basée sur une situation de pur fait. La résidence habituelle de l'enfant se détermine d'après le centre effectif de sa propre vie et de ses attaches, ainsi que par d'autres facteurs susceptibles de faire apparaître que cette présence n'a nullement un caractère temporaire ou occasionnel. La résidence habituelle de l'enfant traduit une certaine intégration dans un environnement social et familial; sont notamment déterminants la durée du séjour, la régularité, les connaissances linguistiques, les conditions et les raisons du séjour sur le territoire et la nationalité de l'enfant. L'intention de demeurer dans un endroit, élément subjectif, n'est pas déterminant pour la fixation d'une résidence habituelle, en sorte que tout déménagement dans un autre Etat ne crée pas immédiatement un nouveau lieu de résidence habituelle, en particulier dans le cas d'enfants très jeunes qui n'ont pas la capacité de former et exprimer leur volonté propre, au risque de créer une résidence habituelle dépendante de celle du parent gardien (arrêt du Tribunal fédéral 5A_121/2018 du 23 mai 2018 consid. 3.1 et les références citées). Le principe de la perpetuatio fori, en vertu duquel lorsqu'un tribunal est localement compétent au moment de la création de la litispendance, il le reste même si les faits constitutifs de sa compétence changent par la suite, ne s'applique donc pas.</w:t>
      </w:r>
    </w:p>
    <w:p>
      <w:r>
        <w:rPr>
          <w:b/>
        </w:rPr>
        <w:t>E. 2.2</w:t>
      </w:r>
    </w:p>
    <w:p>
      <w:r>
        <w:t>En l'espèce, c'est à juste titre que le premier juge a admis la compétence des autorités judiciaires suisses pour traiter de l'ensemble des questions relatives à l'enfant et qu'il a considéré que celles-ci devaient appliquer le droit suisse.</w:t>
      </w:r>
    </w:p>
    <w:p>
      <w:r>
        <w:t>- 9/14 -</w:t>
      </w:r>
    </w:p>
    <w:p>
      <w:r>
        <w:t>C/23921/2017 En effet, tant la CLaH 96 que la CL ou la CLaH 73 déterminent la compétence territoriale et le droit applicable en fonction du lieu de la résidence habituelle du créancier d'aliments, respectivement de l'enfant. Or, en l'occurrence, l'enfant se trouve encore en Suisse. Certes, le premier juge a autorisé la mère à déplacer la résidence habituelle de celui-ci à C______, mais ce changement n'est pas encore effectif. Le centre de vie de l'enfant et de ses attaches se trouve encore en Suisse, lieu où il est scolarisé depuis deux ans. La situation ne s'en trouve pas modifiée du seul fait de la décision prise par le premier juge. Ce d'autant plus que l'appel interjeté par le père a suspendu la force de chose jugée et le caractère exécutoire de celle-ci sur l'ensemble des questions demeurées litigieuses (cf. art. 315 al. 1 CPC), dont celle relative au transfert de la résidence de l'enfant. Sur le plan intercantonal, les tribunaux genevois demeurent, quant à eux, compétents nonobstant le déménagement de l'intimée et de l'enfant dans le canton de Vaud en cours de procédure, dès lors que la compétence à raison du lieu est déterminée par les circonstances existant lors de la création de la litispendance et non par celles existant lors du prononcé du jugement (ATF 133 III 539 consid. 4.3; 116 II 209 consid. 2b/bb, in JdT 1993 I p. 169; arrêts du Tribunal fédéral 4A_695/2011 du 18 janvier 2012 consid. 3.2 et 5A_663/2009 du 1er mars 2010 consid. 2.2.2) et que l'appelant est, dans tous les cas, resté domicilié à Genève (cf. art. 23 al. 1 CPC, qui s'applique également aux procédures de modification; cf. sur cette question arrêt du Tribunal fédéral 5A_903/2013 du 29 janvier 2014 consid. 2.1 et 2.2).</w:t>
      </w:r>
    </w:p>
    <w:p>
      <w:r>
        <w:rPr>
          <w:b/>
        </w:rPr>
        <w:t>E. 3</w:t>
      </w:r>
    </w:p>
    <w:p>
      <w:r>
        <w:t>Invoquant une violation de l'art. 301a CC, l'appelant reproche au Tribunal d'avoir autorisé l'intimée à déplacer la résidence de l'enfant à C______.</w:t>
      </w:r>
    </w:p>
    <w:p>
      <w:r>
        <w:rPr>
          <w:b/>
        </w:rPr>
        <w:t>E. 3.1</w:t>
      </w:r>
    </w:p>
    <w:p>
      <w:r>
        <w:t>L'art. 301a al. 1 CC prévoit que l'autorité parentale inclut le droit de déterminer le lieu de résidence de l'enfant. Il en résulte qu'un parent exerçant conjointement l'autorité parentale ne peut modifier le lieu de résidence de l'enfant qu'avec l'accord de l'autre parent ou sur décision du juge ou de l'autorité de protection de l'enfant, lorsque le nouveau lieu de résidence se trouve à l'étranger ou quand le déménagement a des conséquences importantes pour l'exercice de l'autorité parentale par l'autre parent et pour les relations personnelles (art. 301a al. 2 let. a et b CC).</w:t>
      </w:r>
    </w:p>
    <w:p>
      <w:r>
        <w:rPr>
          <w:b/>
        </w:rPr>
        <w:t>E. 3.1.1</w:t>
      </w:r>
    </w:p>
    <w:p>
      <w:r>
        <w:t>L'exigence d'une autorisation ne concerne que le changement de lieu de résidence de l'enfant (cf. art. 301a al. 2 CC), non celui des parents. L'autorité parentale conjointe ne doit pas priver de facto les parents de leur liberté d'établissement (art. 24 Cst.) en les empêchant de déménager (FF 2011 8331 ch. 1.5.2; arrêt 5A_641/2015 du 3 mars 2016 consid. 4.1). Par conséquent le juge, respectivement l'autorité de protection de l'enfant, ne doit pas répondre à la question de savoir s'il est dans l'intérêt de l'enfant que ses deux parents demeurent au domicile actuel. Il doit plutôt se demander si le bien-être de l'enfant sera mieux</w:t>
      </w:r>
    </w:p>
    <w:p>
      <w:r>
        <w:t>- 10/14 -</w:t>
      </w:r>
    </w:p>
    <w:p>
      <w:r>
        <w:t>C/23921/2017 préservé dans l'hypothèse où il suivrait le parent qui envisage de déménager, ou dans celle où il demeurerait auprès du parent restant sur place, tout en tenant compte du fait que la garde, les relations personnelles et la contribution d'entretien pourront toujours être adaptées en conséquence en application de l'art. 301a al. 5 CC (ATF 142 III 502 consid. 2.5; 142 III 481 consid. 2.6; arrêts du Tribunal fédéral 5A_397/2018 du 16 août 2018 consid. 4.2; 5A_444/2017 du 30 août 2017 consid. 5.3.1).</w:t>
      </w:r>
    </w:p>
    <w:p>
      <w:r>
        <w:rPr>
          <w:b/>
        </w:rPr>
        <w:t>E. 3.1.2</w:t>
      </w:r>
    </w:p>
    <w:p>
      <w:r>
        <w:t>S'agissant de l'autorisation de déplacer le lieu de résidence d'un enfant, le modèle de prise en charge préexistant constitue, sous réserve d'une modification de la situation, le point de départ de l'analyse. Ainsi, dans l'hypothèse où l'enfant était pris en charge à parts plus ou moins égales par chacun des parents, et où ceux-ci sont disposés à continuer à le prendre en charge à l'avenir, la situation de départ est neutre; il faut alors recourir à d'autres critères afin de déterminer quelle solution correspond le plus à l'intérêt de l'enfant. En revanche, si le parent qui souhaite déménager était titulaire de la garde exclusive sur l'enfant ou le prenait en charge de manière prépondérante, il sera en principe dans l'intérêt de l'enfant de déménager avec lui. Les circonstances du cas d'espèce sont déterminantes, notamment l'âge de l'enfant (ATF 144 III 469 consid. 4.1; 142 III 502 consid. 2.5; pour plus de détails s'agissant des critères à prendre en considération, cf. ATF 142 III 481 consid. 2.7).</w:t>
      </w:r>
    </w:p>
    <w:p>
      <w:r>
        <w:rPr>
          <w:b/>
        </w:rPr>
        <w:t>E. 3.1.3</w:t>
      </w:r>
    </w:p>
    <w:p>
      <w:r>
        <w:t>L'examen de l'adaptation des modalités de la prise en charge, des relations personnelles et de l'entretien ne doit pas être dissocié de la question du déménagement, compte tenu du lien étroit entre ces éléments (ATF 142 III 502 consid. 2.6). A cet égard, il convient de clarifier le mode de prise en charge de l'enfant appliqué jusqu'alors, d'esquisser les contours du déménagement, ainsi que d'établir quels sont les besoins de l'enfant et la prise en charge, offerte et effectivement possible, par les parents (ATF 142 III 502 consid. 2.7).</w:t>
      </w:r>
    </w:p>
    <w:p>
      <w:r>
        <w:rPr>
          <w:b/>
        </w:rPr>
        <w:t>E. 3.2</w:t>
      </w:r>
    </w:p>
    <w:p>
      <w:r>
        <w:t>En l'espèce, le Tribunal a considéré que le bien-être de l'enfant serait mieux préservé dans l'hypothèse où elle suivrait sa mère au Royaume-Uni que dans celle où elle demeurerait auprès de son père en Suisse. Son raisonnement est exempt de toute critique. En effet, en suivant sa mère au Royaume-Uni, l'enfant demeurera avec le parent l'ayant prise en charge de manière prépondérante depuis sa naissance, critère important au vu de son jeune âge (5 ans). Elle intégrera un pays qui lui est familier, dont elle connaît la langue et dans lequel réside une partie de sa famille maternelle et paternelle. Elle vivra dans le foyer qui était le sien en Suisse (puisqu'elle habitait avec sa mère et son nouveau conjoint à M______) et pourra entretenir des contacts quotidiens avec son frère ou sa sœur à naître. Enfin, elle pourra être prise en charge par sa mère tous les matins ainsi que tous les après-</w:t>
      </w:r>
    </w:p>
    <w:p>
      <w:r>
        <w:t>- 11/14 -</w:t>
      </w:r>
    </w:p>
    <w:p>
      <w:r>
        <w:t>C/23921/2017 midis à la sortie de l'école, puisqu'il résulte des pièces produites que l'intimée ne travaillera que de 9h30 à 14h30 en semaine, étant précisé qu'elle bénéficiera vraisemblablement d'un congé maternité en raison de la naissance de son deuxième enfant. A l'inverse, en restant vivre auprès de son père en Suisse, l'enfant devrait être placée sous la garde exclusive de celui-ci, qui a certes été très présent depuis la séparation, mais qui ne s'en est jamais occupé plus que trois à quatre soirs par semaine (hors week-end). Il n'est en outre pas établi que, comme l'allègue le père, l'enfant pourrait être prise en charge par ce dernier tous les après-midis ainsi que le mercredi grâce au télétravail, dès lors que cette possibilité ne résulte pas du contrat de travail produit, que les lignes directrices sur l'organisation du télétravail pour le personnel du siège du I______ n'ont été produites que très partiellement, et qu'aucune convention de télétravail n'a été versée au dossier. L'ensemble des circonstances du cas d'espèce mène ainsi à considérer, comme l'a fait le premier juge, qu'il est préférable pour l'enfant de déménager à C______ avec sa mère plutôt que de vivre auprès de son père à Genève. Les éventuelles hésitations de la mère quant à son lieu de vie (Etats-Unis d'abord, puis Royaume-Uni) ne modifient pas cette appréciation, dès lors que les parents peuvent décider de s'établir ailleurs (cf. consid. 3.1.1 supra) sans que leurs compétences parentales ne soient automatiquement remises en cause. Or, aucun élément ne plaide en ce sens dans le présent cas. Certes, l'intimée aurait pu attendre de recevoir une décision judiciaire avant de résilier son contrat de travail et son bail à loyer à Genève. Elle n'a toutefois pas placé l'enfant dans une situation précaire, contrairement à ce qu'affirme l'appelant, puisqu'elle a pu intégrer le logement de son nouveau conjoint et s'assumer financièrement. Il ne résulte en outre pas de la procédure qu'elle ait procédé de manière égoïste, puisqu'elle a finalement renoncé à s'installer aux Etats-Unis, malgré toutes les démarches effectuées en ce sens, compte tenu de la décision négative des autorités judiciaires suisses quant au transfert de la résidence de l'enfant en ce lieu. Le simple fait qu'elle ait trouvé un travail à temps partiel au Royaume-Uni ne saurait en outre être retenu en sa défaveur, dès lors que l'enfant est maintenant scolarisée, ce qui n'était pas le cas lors de la demande de transfert de résidence aux Etats-Unis. Enfin, le lieu de résidence de l'enfant, qu'il ait été à Genève ou à M______, ne change rien au modèle de prise en charge préexistant, qui constitue le point de départ de l'analyse. Infondé, le grief de l'appelant sera par conséquent rejeté et le jugement querellé confirmé sur ce point. Il n'y a dès lors pas lieu de revenir sur les modalités d'exercice du droit de visite telles que fixées par le premier juge, qui n'ont pas été critiquées dans l'hypothèse</w:t>
      </w:r>
    </w:p>
    <w:p>
      <w:r>
        <w:t>- 12/14 -</w:t>
      </w:r>
    </w:p>
    <w:p>
      <w:r>
        <w:t>C/23921/2017 d'une confirmation de l'autorisation de déplacement de la résidence de l'enfant à C______. Partant, le jugement entrepris sera également confirmé sur ce point. La solution adoptée ne remet pas en cause les compétences parentales du père, ni son investissement auprès de l'enfant, notamment depuis la séparation, lequel lui a permis de tisser un lien de qualité avec sa fille, comme l'a déjà relevé le Tribunal.</w:t>
      </w:r>
    </w:p>
    <w:p>
      <w:r>
        <w:rPr>
          <w:b/>
        </w:rPr>
        <w:t>E. 4</w:t>
      </w:r>
    </w:p>
    <w:p>
      <w:r>
        <w:t>Invoquant une violation des art. 176, 276 et 285 CC, l'appelant reproche au Tribunal de l'avoir condamné à verser à l'enfant une contribution d'entretien qui ne correspond pas à ses besoins ni au coût de la vie à C______. Il fait valoir que, compte tenu du changement de la résidence habituelle de sa fille au Royaume- Uni, le Tribunal aurait dû appliquer le droit anglais pour déterminer l'entretien convenable de l'enfant en se fondant sur le «child maintenance calculator», qui tient compte du salaire du parent non gardien, du nombre d'enfants à charge, du nombre de nuits passées avec le parent non gardien et du nombre d'autres enfants vivant avec le parent non gardien.</w:t>
      </w:r>
    </w:p>
    <w:p>
      <w:r>
        <w:rPr>
          <w:b/>
        </w:rPr>
        <w:t>E. 4.1</w:t>
      </w:r>
    </w:p>
    <w:p>
      <w:r>
        <w:t>Selon l'art. 276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w:t>
      </w:r>
    </w:p>
    <w:p>
      <w:r>
        <w:t>L'art. 285 CC prévoit que la contribution d'entretien doit correspondre aux besoins de l'enfant ainsi qu'à la situation et aux ressources de ses père et mère; il est tenu compte de la fortune et des revenus de l'enfant (al. 1). La contribution d'entretien doit également garantir la prise en charge de l'enfant par les parents et les tiers (art. 285 al. 2 CC). La loi ne prescrit pas de méthode de calcul particulière pour arrêter la contribution d'entretien en faveur de l'enfant (ATF 128 III 411 consid. 3.2.2). Sa fixation relève de l'appréciation du juge, qui jouit d'un large pouvoir d'appréciation et applique les règles du droit et de l'équité (art. 4 CC; ATF 140 III 337 consid. 4.2.2; 128 III 161 consid. 2c/aa; ATF 127 III 136 consid. 3a; arrêt du Tribunal fédéral 5A_465/2016 19 janvier 2017 consid. 7.2.2). Le minimum vital du débirentier doit en principe être préservé (ATF 137 III 59 consid. 4.2).</w:t>
      </w:r>
    </w:p>
    <w:p>
      <w:r>
        <w:rPr>
          <w:b/>
        </w:rPr>
        <w:t>E. 4.2</w:t>
      </w:r>
    </w:p>
    <w:p>
      <w:r>
        <w:t>En l'espèce, c'est à raison, contrairement à ce que soutient l'appelant, que le premier juge a fixé la contribution d'entretien de l'enfant en application du droit suisse (cf. consid. 2.2 supra). C'est également à bon droit, faute d'allégués et de pièces relatives au coût d'entretien de l'enfant à C______, que le premier juge a fixé la nouvelle contribution d'entretien en se fondant sur les montants retenus sur divorce, qu'il a ensuite adaptés afin de tenir compte du niveau de vie légèrement inférieur à</w:t>
      </w:r>
    </w:p>
    <w:p>
      <w:r>
        <w:t>- 13/14 -</w:t>
      </w:r>
    </w:p>
    <w:p>
      <w:r>
        <w:t>C/23921/2017 C______ par rapport Genève (lieu où l'enfant résidait lors du prononcé du divorce). Conforme à l'intérêt de l'enfant et non critiquée par l'appelant en cas d'application du droit suisse, cette méthode sera confirmée. Elle permet de tenir adéquatement compte de l'accord intervenu entre les parties sur divorce et du niveau de vie que mènera réellement l'enfant à C______. L'appelant ne soutient du reste pas être dans l'incapacité de s'acquitter des montants fixés par le premier juge, à savoir 1'100 fr. par mois jusqu'à 6 ans, puis 1'190 fr. par mois. Son minimum vital est, dans tous les cas, préservé, dès lors que son budget présente un solde positif mensuel d'au minimum 2'000 fr. (6'200 fr. de revenus nets jusqu'en septembre 2019 - 3'873 fr. 65 de charges; 8'846 fr. de revenus bruts, versés treize fois l'an, dès octobre 2019 - environ 10% de cotisations sociales - 12.44% d'impôt à la source - 3'873 fr. 65 de charges).</w:t>
      </w:r>
    </w:p>
    <w:p>
      <w:r>
        <w:t>Infondé, le grief sera rejeté et le jugement querellé confirmé sur ce point.</w:t>
      </w:r>
    </w:p>
    <w:p>
      <w:r>
        <w:rPr>
          <w:b/>
        </w:rPr>
        <w:t>E. 5</w:t>
      </w:r>
    </w:p>
    <w:p>
      <w:r>
        <w:t>En définitive, le jugement entrepris sera intégralement confirmé.</w:t>
      </w:r>
    </w:p>
    <w:p>
      <w:r>
        <w:rPr>
          <w:b/>
        </w:rPr>
        <w:t>E. 6</w:t>
      </w:r>
    </w:p>
    <w:p>
      <w:r>
        <w:t>Les frais judiciaires de la procédure d'appel seront arrêtés à 1'250 fr. (art. 95 al. 1 let. a et al. 2, 96, 104 al. 1 et 105 al. 1 CPC; art. 30 et 35 RTFMC) et mis à la charge des parties par moitié, vu la nature du litige (art. 107 al. 1 let. c CPC). Dès lors qu'elles plaident toutes deux au bénéfice de l'assistance juridique, les parts respectives des parties seront provisoirement supportées par l'Etat de Genève, lequel pourra en réclamer le remboursement ultérieurement (art. 122 al. 1 let. b et 123 CPC; art. 19 RAJ). Compte tenu de la nature familiale du litige, chaque partie conservera à sa charge ses propres dépens d'appel (art. 95 al. 1 let. b et al. 3, 104 al. 1, 105 al. 2 et 107 al. 1 let. c CPC). * * * * *</w:t>
      </w:r>
    </w:p>
    <w:p>
      <w:r>
        <w:t>- 14/14 -</w:t>
      </w:r>
    </w:p>
    <w:p>
      <w:r>
        <w:t>C/23921/2017 PAR CES MOTIFS, La Chambre civile : A la forme : Déclare recevable l'appel interjeté le 21 août 2019 par A______ contre le jugement JTPI/8979/2019 rendu le 19 juin 2019 par le Tribunal de première instance dans la cause C/23921/2017-18. Au fond : Confirme le jugement entrepris. Déboute les parties de toutes autres conclusions. Sur les frais : Arrête les frais judiciaires d'appel à 1'250 fr., les met à la charge des parties à raison d'une moitié chacune et laisse provisoirement la part des frais de A______ et de B______, soit 625 fr. chacun, à la charge de l'Etat de Genève. Dit que chaque partie supporte ses propres dépens d'appel. Siégeant : Monsieur Ivo BUETTI, président; Madame Sylvie DROIN et Madame Nathalie RAPP, juges; Madame Camille LESTEVEN, greffière. Le président : Ivo BUETTI</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