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ACJC/719/2024 vom 6. Juni 2024</w:t>
      </w:r>
    </w:p>
    <w:p>
      <w:r>
        <w:t>GE Cour de justice, 2024-06-06, FR</w:t>
      </w:r>
    </w:p>
    <w:p>
      <w:r>
        <w:rPr>
          <w:b/>
        </w:rPr>
        <w:t xml:space="preserve">Quelle: </w:t>
      </w:r>
      <w:r>
        <w:t>https://mcp.opencaselaw.ch/entscheid/ge_gerichte_ACJC_719_2024</w:t>
      </w:r>
    </w:p>
    <w:p>
      <w:r>
        <w:t>FR: GE_GERICHTE ACJC/719/2024 du 6 juin 2024</w:t>
      </w:r>
    </w:p>
    <w:p>
      <w:r>
        <w:t>IT: GE_GERICHTE ACJC/719/2024 del 6 giugno 2024</w:t>
      </w:r>
    </w:p>
    <w:p>
      <w:pPr>
        <w:pStyle w:val="Heading2"/>
      </w:pPr>
      <w:r>
        <w:t>Erwägungen</w:t>
      </w:r>
    </w:p>
    <w:p>
      <w:r>
        <w:rPr>
          <w:b/>
        </w:rPr>
        <w:t>E. 1.1</w:t>
      </w:r>
    </w:p>
    <w:p>
      <w:r>
        <w:t>En matière de mainlevée d'opposition, seule la voie du recours est ouverte (art. 309 let. b ch. 3 CPC). Aux termes de l'art. 321 al. 1 et 2 CPC, le recours, écrit et motivé, doit être introduit auprès de l'instance de recours dans les dix jours à compter de la</w:t>
      </w:r>
    </w:p>
    <w:p>
      <w:r>
        <w:t>- 5/9 -</w:t>
      </w:r>
    </w:p>
    <w:p>
      <w:r>
        <w:t>C/17398/2023 notification de la décision motivée, pour les décisions prises en procédure sommaire (art. 251 let. a CPC).</w:t>
      </w:r>
    </w:p>
    <w:p>
      <w:r>
        <w:rPr>
          <w:b/>
        </w:rPr>
        <w:t>E. 1.2</w:t>
      </w:r>
    </w:p>
    <w:p>
      <w:r>
        <w:t>Interjeté dans le délai et selon la forme prévus par la loi, le recours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Berne, 2010, n° 2307). Le recours est instruit en procédure sommaire (art. 251 let. a CPC), la preuve des faits allégués devant être apportée par titres (art. 254 CPC). Les maximes des débats et de disposition s'appliquent (art. 55 al. 1, 255 let. a a contrario et art. 58 al. 1 CPC).</w:t>
      </w:r>
    </w:p>
    <w:p>
      <w:r>
        <w:rPr>
          <w:b/>
        </w:rPr>
        <w:t>E. 2</w:t>
      </w:r>
    </w:p>
    <w:p>
      <w:r>
        <w:t>Le Tribunal, qui n'a pas rédigé d'état de fait, a considéré que les pièces produites valaient reconnaissance de dette et que le recourant n'avait fait valoir aucun moyen libératoire susceptible de faire échec au prononcé de la mainlevée. Il n'a examiné aucun des arguments soulevés par le recourant. 2.1.1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cette disposition, en particulier, l'acte sous seing-privé, signé par le poursuivi ou son représentant, d'où ressort sa volonté de payer au poursuivant, sans réserve ni condition, une somme d'argent déterminée, ou aisément déterminable et exigible (ATF 148 III 145 consid. 4.1.1; 145 III 20 consid. 4.1.1.1; ATF 139 III 297 consid. 2.3.1; arrêt du Tribunal fédéral 5A_688/2022 du 23 novembre 2022 consid. 4.1.1). Il peut s'agit soit d'une reconnaissance de dette formelle (art. 17 CO), soit d'un ensemble de pièces dans la mesure où il en ressort les éléments nécessaires (ATF 139 III 297 précité). La promesse de donner signée par le donateur ou conclue en la forme authentique constitue une reconnaissance de dette pour autant que la volonté de donner ressorte de l'acte, ce qui peut résulter de la renonciation à une contreprestation. Le donateur poursuivi peut invoquer en particulier les motifs de révocation et de refus d'exécution prévus à l'art. 250 CO (ABBET/ VEUILLET, La mainlevée de l'opposition, 2022, n. 199a ad art. 82 LP).</w:t>
      </w:r>
    </w:p>
    <w:p>
      <w:r>
        <w:t>- 6/9 -</w:t>
      </w:r>
    </w:p>
    <w:p>
      <w:r>
        <w:t>C/17398/2023 Le poursuivi peut se prévaloir de tous les moyens de droit civil – exceptions ou objections – qui infirment la reconnaissance de dette (ATF 145 III 20 consid. 4.1.2 et la référence; 131 III 268 consid. 3.2). Il n'a pas à apporter la preuve absolue (ou stricte) de ses moyens libératoires, mais seulement à les rendre vraisemblables, en principe par titre (art. 254 al. 1 CPC; ATF 145 III 20 consid. 3.1.2 et la référence). Le juge n'a pas à être persuadé de l'existence des faits allégués; il doit, en se fondant sur des éléments objectifs, avoir l'impression qu'ils se sont produits, sans exclure pour autant la possibilité qu'ils se soient déroulés autrement (ATF 142 III 720 consid. 4.1 et la référence). Pour s'opposer à la mainlevée provisoire, le poursuivi peut notamment rendre vraisemblable que l'obligation constatée dans le titre, causal ou abstrait, n'est pas valable en raison d'un vice de la volonté : lésion, erreur, dol ou crainte fondée (ABBET/ VEUILLET, op. cit., n. 119 ad art. 82 LP). La procédure de mainlevée n'a un caractère sommaire au sens propre qu'en ce qui concerne les moyens libératoires du débiteur. Par conséquent, s'agissant de l'existence du titre de mainlevée, l'application de la procédure sommaire n'implique pas en soi un abaissement du degré de la preuve à la simple vraisemblance. Le degré de preuve requis est donc, à cet égard, celui de la preuve stricte (arrêt du Tribunal fédéral 5A_740/2018 du 1er avril 2019, consid. 6.1.3).</w:t>
      </w:r>
    </w:p>
    <w:p>
      <w:r>
        <w:t>2.1.2 Le droit d'être entendu, en tant que droit personnel de participer à la procédure, exige que l’autorité écoute effectivement, puis examine soigneusement et sérieusement, et prenne en compte dans sa décision, les arguments de la personne dont la décision touche la position juridique. Il implique l'obligation, pour l'autorité, de motiver sa décision, afin que son destinataire puisse la comprendre et l'attaquer utilement s'il y a lieu.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142 III 433 consid. 4.3.2, JdT 2016 II 347; 129 I 232 consid. 3.2, JdT 2004 I 588, SJ 2003 I 513; arrêt du Tribunal fédéral 4A_523/2010 du 22 novembre 2010 consid. 5.3).</w:t>
      </w:r>
    </w:p>
    <w:p>
      <w:r>
        <w:t>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si elle omet de se prononcer sur des griefs qui présentent une certaine pertinence ou de prendre en considération des allégués et arguments importants pour la décision à rendre (arrêt du Tribunal fédéral 5A_111/2015 du 20 octobre 2015 consid. 3.1).</w:t>
      </w:r>
    </w:p>
    <w:p>
      <w:r>
        <w:t>- 7/9 -</w:t>
      </w:r>
    </w:p>
    <w:p>
      <w:r>
        <w:t>C/17398/2023 Dans la mesure où l'instance précédente a violé des garanties formelles de procédure, la cassation de sa décision est la règle. En outre, les justiciables ont en principe le droit au respect des degrés de juridiction (ATF 137 I 195 consid. 2.7, SJ 2011 I 345). Toutefois, une violation pas particulièrement grave du droit d’être entendu peut exceptionnellement être guérie si l’intéressé peut s’exprimer devant une instance de recours ayant libre pouvoir d’examen en fait comme en droit (ATF 137 I 195 consid. 2.2, 2.3.2 et 2.6, SJ 2011 I 345).</w:t>
      </w:r>
    </w:p>
    <w:p>
      <w:r>
        <w:rPr>
          <w:b/>
        </w:rPr>
        <w:t>E. 2.2</w:t>
      </w:r>
    </w:p>
    <w:p>
      <w:r>
        <w:t>En l'espèce, le Tribunal a violé le droit d'être entendu du recourant car il n'a traité aucun des arguments soulevés par celui-ci dans ses déterminations écrites, alors même que ces arguments étaient pertinents. Cette violation ne peut pas être guérie dans le cadre du présent recours car la Cour de céans ne dispose pas d'un libre pouvoir d'appréciation en fait. A cela s'ajoute que les parties ont principe le droit au respect des degrés de juridiction. La décision litigieuse sera par conséquent annulée et le dossier retourné au Tribunal pour qu'il se prononce sur les arguments invoqués par le recourant pour s'opposer au prononcé de la mainlevée de l'opposition formée au commandement de payer litigieux.</w:t>
      </w:r>
    </w:p>
    <w:p>
      <w:r>
        <w:rPr>
          <w:b/>
        </w:rPr>
        <w:t>E. 3</w:t>
      </w:r>
    </w:p>
    <w:p>
      <w:r>
        <w:t>L'intimée, qui succombe, sera condamnée aux frais du recours (art. 106 al. 1 CPC). Les frais judiciaires seront arrêtés à 1'325 fr. (art. 48 et 61 al. 1 OELP) et compensés avec l'avance versée par le recourant, laquelle reste acquise à l'Etat de Genève (art. 111 al. 1 CPC). L'intimée sera condamnée à payer ce montant à ce dernier. Les dépens dus au recourant seront fixés à 2'000 fr., TVA et débours compris (art. 25 et 26 al. 1 LaCC; art. 85, 89 et 90 RTFMC). * * * * *</w:t>
      </w:r>
    </w:p>
    <w:p>
      <w:r>
        <w:t>- 8/9 -</w:t>
      </w:r>
    </w:p>
    <w:p>
      <w:r>
        <w:t>C/17398/2023 PAR CES MOTIFS, La Chambre civile : A la forme : Déclare recevable le recours interjeté par A______ contre le jugement JTPI/2861/2024 rendu le 27 février 2024 par le Tribunal de première instance dans la cause C/17398/2023–20 SML. Au fond : Annule le jugement précité. Renvoie la cause au Tribunal pour nouvelle décision au sens des considérants. Sur les frais : Met à la charge de B______ les frais judiciaires de recours, arrêtés à 1'325 fr. et compensés avec l'avance versée, acquise à l'Etat de Genève. Condamne B______ à verser à A______ 1'325 fr. au titre des frais judiciaires de recours. Condamne B______ à verser à A______ 2'000 fr. de dépens de recours. Siégeant : Monsieur Laurent RIEBEN, président; Madame Fabienne GEISINGER-MARIETHOZ, Monsieur Ivo BUETTI, juges; Madame Mélanie DE RESENDE PEREIRA, greffière. 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t>- 9/9 -</w:t>
      </w:r>
    </w:p>
    <w:p>
      <w:r>
        <w:t>C/17398/2023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