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ACJC/717/2023 vom 8. Juni 2023</w:t>
      </w:r>
    </w:p>
    <w:p>
      <w:r>
        <w:t>GE Cour de justice, 2023-06-08, FR</w:t>
      </w:r>
    </w:p>
    <w:p>
      <w:r>
        <w:rPr>
          <w:b/>
        </w:rPr>
        <w:t xml:space="preserve">Quelle: </w:t>
      </w:r>
      <w:r>
        <w:t>https://mcp.opencaselaw.ch/entscheid/ge_gerichte_ACJC_717_2023</w:t>
      </w:r>
    </w:p>
    <w:p>
      <w:r>
        <w:t>FR: GE_GERICHTE ACJC/717/2023 du 8 juin 2023</w:t>
      </w:r>
    </w:p>
    <w:p>
      <w:r>
        <w:t>IT: GE_GERICHTE ACJC/717/2023 del 8 giugno 2023</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l'entretien des enfants, il est de nature pécuniaire (ATF 133 III 393 consid. 2). En vertu de l'art. 92 al. 2 CPC, la capitalisation du montant de la contribution d'entretien restée litigieuse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Formé en temps utile et selon la forme prescrite par la loi (art. 130 al. 1 et 314 al. 1 CPC), l'appel est recevable. S'agissant des enfants des parties devenus majeurs en cours de procédure, ils sont considérés comme ayant adhéré aux conclusions de leur père (cf. supra EN FAIT let. B.f).</w:t>
      </w:r>
    </w:p>
    <w:p>
      <w:r>
        <w:rPr>
          <w:b/>
        </w:rPr>
        <w:t>E. 1.2</w:t>
      </w:r>
    </w:p>
    <w:p>
      <w:r>
        <w:t>La Cour revoit la cause en fait et en droit avec un plein pouvoir d'examen (art. 310 CPC). La présente cause est soumise aux maximes d'office et inquisitoire illimitée dès lors qu'elle concerne les enfants mineurs des parties (art. 296 al. 1 et al. 3 CPC), de sorte que la Cour n'est liée ni par les conclusions des parties sur ce point (art. 296 al. 3 CPC) ni par l'interdiction de la reformatio in pejus (ATF 129 III 417 consid. 2.1.1; arrêt du Tribunal fédéral 5A_843/2018 du 12 février 2020 consid. 5.2). 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 L'intimé peut lui aussi, sans introduire d'appel joint, présenter des griefs dans sa réponse à l'appel, si ceux-ci visent à exposer que malgré le bien-fondé des griefs</w:t>
      </w:r>
    </w:p>
    <w:p>
      <w:r>
        <w:t>- 9/20 -</w:t>
      </w:r>
    </w:p>
    <w:p>
      <w:r>
        <w:t>C/14182/2021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1.3</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w:t>
      </w:r>
    </w:p>
    <w:p>
      <w:r>
        <w:rPr>
          <w:b/>
        </w:rPr>
        <w:t>E. 1.4</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1.5</w:t>
      </w:r>
    </w:p>
    <w:p>
      <w:r>
        <w:t>Les parties ont produit de nouvelles pièces en appel.</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1.5.2</w:t>
      </w:r>
    </w:p>
    <w:p>
      <w:r>
        <w:t>En l'espèce, les pièces nouvelles produites par les parties sont recevables dès lors qu'elles sont en lien avec la situation personnelle et financières des enfants.</w:t>
      </w:r>
    </w:p>
    <w:p>
      <w:r>
        <w:rPr>
          <w:b/>
        </w:rPr>
        <w:t>E. 2</w:t>
      </w:r>
    </w:p>
    <w:p>
      <w:r>
        <w:t>L'appelante conteste devoir verser les allocations familiales à l'intimé, au motif qu'elles ont toujours été versées par l'OCAS sur un compte dont est titulaire le père et qu'elle ne les a jamais perçues personnellement.</w:t>
      </w:r>
    </w:p>
    <w:p>
      <w:r>
        <w:t>En l'espèce, les allocations familiales ont été versées en faveur des enfants jusqu'en mai 2021, faute pour la mère d'avoir effectué les démarches en vue de la</w:t>
      </w:r>
    </w:p>
    <w:p>
      <w:r>
        <w:t>- 10/20 -</w:t>
      </w:r>
    </w:p>
    <w:p>
      <w:r>
        <w:t>C/14182/2021 poursuite de ce versement. Il n'est pas contesté que ces allocations ont toujours été créditées sur un compte dont est titulaire le père et que l'appelante ne les a jamais perçues personnellement.</w:t>
      </w:r>
    </w:p>
    <w:p>
      <w:r>
        <w:t>Partant, le chiffre 6 du dispositif du jugement entrepris sera annulé.</w:t>
      </w:r>
    </w:p>
    <w:p>
      <w:r>
        <w:rPr>
          <w:b/>
        </w:rPr>
        <w:t>E. 3</w:t>
      </w:r>
    </w:p>
    <w:p>
      <w:r>
        <w:t>L'appelante remet en cause les contributions à l'entretien des enfants fixées par le Tribunal.</w:t>
      </w:r>
    </w:p>
    <w:p>
      <w:r>
        <w:rPr>
          <w:b/>
        </w:rPr>
        <w:t>E. 3.1.1</w:t>
      </w:r>
    </w:p>
    <w:p>
      <w:r>
        <w:t>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w:t>
      </w:r>
    </w:p>
    <w:p>
      <w:r>
        <w:rPr>
          <w:b/>
        </w:rPr>
        <w:t>E. 3.1.2</w:t>
      </w:r>
    </w:p>
    <w:p>
      <w:r>
        <w:t>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Les père et mère et l'enfant se doivent mutuellement l'aide, les égards et le respect qu'exige l'intérêt de la famille (art. 272 CC). L'obligation d'entretien des père et mère à l'égard de leur enfant majeur, prévue par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113 II 374 consid. 2; 111 II 413 consid. 2; arrêt 5A_1018/2018 du 2 juillet 2019 consid. 2.1.2 et les références).</w:t>
      </w:r>
    </w:p>
    <w:p>
      <w:r>
        <w:t>- 11/20 -</w:t>
      </w:r>
    </w:p>
    <w:p>
      <w:r>
        <w:t>C/14182/2021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117 II 127 consid. 3b; 113 II 374 consid. 4; arrêt 5A_1018/2018 du 2 juillet 2019 consid. 2.1.2 et les références). Selon certains auteurs, il serait souhaitable de moduler les conséquences de la violation de l'article 272 CC, en fonction de l'âge de l'enfant (elles seraient atténuées entre 18 et 22 ans par exemple) et en fonction de la gravité de la faute, en permettant une simple réduction (plutôt qu'une suppression) de la contribution d'entretien, ou une limitation de la durée de l'obligation (cf. art. 125 al. 3 et 329 al. 2 CC, ainsi que l'art. 44 CO par analogie). Cette solution permettrait aussi, selon cette doctrine, d'aboutir, dans les cas de responsabilité prépondérante mais non exclusive de l'enfant, à une solution équitable aux yeux du parent concerné, puisque la contribution serait réduite dans la mesure de la faute "concomitante" de l'enfant (MEIER, Entretien de l'enfant majeur – Un état des lieux, in JT 2019 III p. 4 ss, n° 57, pp. 31-32). S'agissant de l'acquisition d'une formation, l'on admet un battement de deux ou trois ans au plus, susceptible de déterminer l'enfant sur ses choix professionnels et son avenir. Une fois ce choix opéré, et les études planifiées commencées, un échec isolé ne peut être de nature à lui seul à libérer le débiteur. En revanche,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celui-ci (PIOTET, CR-CC I, n. 8 et 10 ad art. 277 CC). Les contributions d'entretien doivent être versées en mains de l'enfant majeur (arrêts du Tribunal fédéral 5A_679/2019; 5A_681/2019 du 5 juillet 2021 consid. 10.3.1).</w:t>
      </w:r>
    </w:p>
    <w:p>
      <w:r>
        <w:rPr>
          <w:b/>
        </w:rPr>
        <w:t>E. 3.1.3</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w:t>
      </w:r>
    </w:p>
    <w:p>
      <w:r>
        <w:t>- 12/20 -</w:t>
      </w:r>
    </w:p>
    <w:p>
      <w:r>
        <w:t>C/14182/2021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w:t>
      </w:r>
    </w:p>
    <w:p>
      <w:r>
        <w:t>- 13/20 -</w:t>
      </w:r>
    </w:p>
    <w:p>
      <w:r>
        <w:t>C/14182/2021 entièrement à l'autre parent, même si dans certaines circonstances il peut se justifier de s'écarter de ce principe (ATF 147 III 265 consid. 5.5). L'entretien de l'enfant majeur est limité au minimum vital du droit de la famille; celui-ci n'a pas le droit à une part de l'excédent (ATF 147 III 265 consid. 7.2; arrêts du Tribunal fédéral 5A_52/2021 du 29 octobre 2021 consid. 7.2; 5A_1072/2020 du 25 août 2021 consid. 8.4).</w:t>
      </w:r>
    </w:p>
    <w:p>
      <w:r>
        <w:t>Le minimum vital du débirentier doit en principe être préservé (ATF 137 III 59 consid. 4.2).</w:t>
      </w:r>
    </w:p>
    <w:p>
      <w:r>
        <w:rPr>
          <w:b/>
        </w:rPr>
        <w:t>E. 3.1.4</w:t>
      </w:r>
    </w:p>
    <w:p>
      <w:r>
        <w:t>La communauté de vie formée par une personne vivant avec un enfant majeur ne constitue pas une communauté durable, de sorte que le montant de base applicable à une personne vivant dans une telle communauté n'entre pas en considération (ATF 144 III 502 consid. 6.6 ; 132 III 483 consid. 4, in JT 2007 II p. 78 ss; arrêt du Tribunal fédéral 5A_6/2019 du 3 juillet 2019 consid. 4.4). Il convient dès lors de prendre en compte le montant de base OP pour une personne vivant seule ou pour un débiteur monoparental si l'enfant qui vit auprès de son parent est en formation et sans revenu et que son parent le soutient (arrêt du Tribunal fédéral 5A_6/2019 du 3 juillet 20019 consid. 4.4). L'enfant majeur assume une part des coûts du logement du parent avec lequel il vit s'il en a effectivement la capacité économique (ATF 144 III 502 consid. 6.6; 132 III 483 précité consid. 4.2; arrêt du Tribunal fédéral 5A_432/2011 du 20 septembre 2011 consid. 3.2).</w:t>
      </w:r>
    </w:p>
    <w:p>
      <w:r>
        <w:rPr>
          <w:b/>
        </w:rPr>
        <w:t>E. 3.1.5</w:t>
      </w:r>
    </w:p>
    <w:p>
      <w:r>
        <w:t>Lorsqu'il s'agit de fixer la contribution à l'entretien durant les mesures protectrices de l'union conjugale,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 du Tribunal fédéral 5A_1068/2021 précité). Il est en revanche possible de s'écarter de la répartition par moitié en ce qui concerne les frais communs, tel que le loyer (ATF 137 III 59 consid. 4.2.2; arrêt du Tribunal fédéral 5A_855/2017</w:t>
      </w:r>
    </w:p>
    <w:p>
      <w:r>
        <w:t>- 14/20 -</w:t>
      </w:r>
    </w:p>
    <w:p>
      <w:r>
        <w:t>C/14182/2021 précité). Cette répartition peut s'effectuer en fonction de la capacité de gain effective ou hypothétique du concubin (ATF 137 III 59 consid. 4.2.2; arrêt du Tribunal fédéral 5A_855/2017 précité) et des circonstances. Dans un arrêt 5A_583/2018 du 18 janvier 2019, le Tribunal fédéral a admis implicitement que les parts de loyer des deux enfants pouvaient être imputées sur la demi-part de loyer de la mère, l'autre part (50%) étant à la charge de son concubin (consid. 3.2).</w:t>
      </w:r>
    </w:p>
    <w:p>
      <w:r>
        <w:rPr>
          <w:b/>
        </w:rPr>
        <w:t>E. 3.1.6</w:t>
      </w:r>
    </w:p>
    <w:p>
      <w:r>
        <w:t>En cas de situation financière serrée, les frais de véhicule sont pris en considération uniquement si celui-ci est nécessaire à l'exercice d'une profession ou indispensable pour un autre motif (ATF 110 III 17 consid. 2; 108 III 60 consid. 3; arrêts du Tribunal fédéral 5A_971/2020 du 19 novembre 2021 consid. 9.2; 5A_144/2021 du 28 mai 2021 consid. 6.2). Si tel n'est pas le cas, les frais de transports publics sont pris en compte (art. 93 LP; ATF 147 III 265 précité consid. 7.2; 5A_329/2016 du 6 décembre 2016 consid. 4.1; BASTONS BULLETTI, L'entretien après le divorce: Méthodes de calcul, montant, durée et limites, in SJ 2007 II 77, p. 84 s. et 101 s.).</w:t>
      </w:r>
    </w:p>
    <w:p>
      <w:r>
        <w:rPr>
          <w:b/>
        </w:rPr>
        <w:t>E. 3.1.7</w:t>
      </w:r>
    </w:p>
    <w:p>
      <w:r>
        <w:t>Les dettes qui occasionnent une saisie de salaire sont écartées puisque le débiteur pourra requérir la révision de la saisie en invoquant ses nouvelles obligations d'entretien (BASTONS BULLETTI, L'entretien après divorce : Méthodes de calcul, montant, durée et limites, in SJ 2007 II 77, p.90; arrêt du Tribunal fédéral 5C_77/2001 du 6 septembre 2001 consid. 2d/dd; ACJC/1218/2021 du 16 septembre 2021 consid. 3.1.4).</w:t>
      </w:r>
    </w:p>
    <w:p>
      <w:r>
        <w:rPr>
          <w:b/>
        </w:rPr>
        <w:t>E. 3.1.8</w:t>
      </w:r>
    </w:p>
    <w:p>
      <w:r>
        <w:t>Le droit aux allocations familiales arriérées s'éteint 5 ans après la fin du mois pour lequel elles étaient dues (art. 12 al. 1 LAF).</w:t>
      </w:r>
    </w:p>
    <w:p>
      <w:r>
        <w:rPr>
          <w:b/>
        </w:rPr>
        <w:t>E. 3.1.9</w:t>
      </w:r>
    </w:p>
    <w:p>
      <w:r>
        <w:t>Lorsque l'enfant devient majeur en cours de procédure, le pouvoir de son représentant légal s'éteint; l'enfant doit alors poursuivre lui-même le procès. S'il est représenté, il doit donner son accord aux prétentions réclamées pour la période allant au-delà de la majorité (ATF 129 III 55 consid. 3.1.2 et 3.1.5; arrêt du Tribunal fédéral 5A_524/2017 du 9 octobre 2017 consid. 3.2.2).</w:t>
      </w:r>
    </w:p>
    <w:p>
      <w:r>
        <w:rPr>
          <w:b/>
        </w:rPr>
        <w:t>E. 3.1.10</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w:t>
      </w:r>
    </w:p>
    <w:p>
      <w:r>
        <w:t>- 15/20 -</w:t>
      </w:r>
    </w:p>
    <w:p>
      <w:r>
        <w:t>C/14182/2021</w:t>
      </w:r>
    </w:p>
    <w:p>
      <w:r>
        <w:rPr>
          <w:b/>
        </w:rPr>
        <w:t>E. 3.2</w:t>
      </w:r>
    </w:p>
    <w:p>
      <w:r>
        <w:t>En l'espèce, l'appelante ne remet pas en question le principe de sa prise en charge de l'intégralité des frais de ses fils résultant de la garde exclusive assumée par le père. Pour le surplus, la situation des parties et de leurs enfants se présente de la manière suivante :</w:t>
      </w:r>
    </w:p>
    <w:p>
      <w:r>
        <w:rPr>
          <w:b/>
        </w:rPr>
        <w:t>E. 3.2.1</w:t>
      </w:r>
    </w:p>
    <w:p>
      <w:r>
        <w:t>L'appelante réalise un salaire net d'environ 6'800 fr. par mois. Compte tenu de la saisie sur salaire dont elle fait l'objet depuis juin 2021, ses revenus ont été réduits à 4'787 fr. entre cette date et décembre 2022, l'épouse ayant été en mesure de demander la modification de la saisie dès janvier 2023 en présentant le jugement entrepris dont le caractère exécutoire du chiffre 4 du dispositif n'a pas été suspendu.</w:t>
      </w:r>
    </w:p>
    <w:p>
      <w:r>
        <w:t>Compte tenu de ses charges de 3'885 fr. par mois (cf. supra EN FAIT C.m.a), elle dispose d'un solde disponible de 2'915 fr. en mai 2021, de 902 fr. de juin 2021 à décembre 2022, puis de 2'915 fr. dès janvier 2023.</w:t>
      </w:r>
    </w:p>
    <w:p>
      <w:r>
        <w:rPr>
          <w:b/>
        </w:rPr>
        <w:t>E. 3.2.2</w:t>
      </w:r>
    </w:p>
    <w:p>
      <w:r>
        <w:t>L'intimé perçoit des revenus nets de 6'319 fr. par mois.</w:t>
      </w:r>
    </w:p>
    <w:p>
      <w:r>
        <w:t>Il ne sera pas tenu compte des frais de véhicule et des loyers pour quatre places de parking, l'intimé n'ayant pas rendu vraisemblable la nécessité de ces charges et l'impossibilité de sous-louer ces emplacements.</w:t>
      </w:r>
    </w:p>
    <w:p>
      <w:r>
        <w:t>Au vu du contenu du rapport du SEASP, des déclarations de C______ recueillies par ce service, l'adresse du domicile conjugale indiquée sur le nouveau bail à loyer de la compagne de l'intimé et le nom de celle-ci inscrit sur la boîte aux lettres de l'ancien domicile conjugal, il sera retenu que ces deux derniers ont vécu en concubinage entre février 2022 et décembre 2022.</w:t>
      </w:r>
    </w:p>
    <w:p>
      <w:r>
        <w:t>Les charges mensuelles de l'intimé seront ainsi arrêtées à environ 3'992 fr. entre mai 2021 et janvier 2022, à 2'649 fr. entre février 2022 et décembre 2022, puis à 3'992 fr. dès janvier 2023, comprenant sa part du loyer (70% de 2'411 fr., soit 1'687 fr. 70 entre mai 2021 et janvier 2022, 70% de la moitié de 2'411 fr., soit 844 fr. entre février 2022 et décembre 2023, puis 1'687 fr. 70 dès janvier 2023), la prime d'assurance-maladie (611 fr. 90), les frais médicaux non couverts (273 fr.), les frais de transports publics (70 fr.) et le montant de base OP (1'350 fr. entre mai et janvier 2022, 850 fr. entre février 2022 et décembre 2022, puis à 1'350 fr. dès janvier 2023).</w:t>
      </w:r>
    </w:p>
    <w:p>
      <w:r>
        <w:t>L'intimé dispose, ainsi, d'un solde de 2'327 fr. entre mai 2021 et janvier 2022, de 3'670 fr. entre février 2022 et décembre 2022, puis de 2'327 fr. dès janvier 2023.</w:t>
      </w:r>
    </w:p>
    <w:p>
      <w:r>
        <w:rPr>
          <w:b/>
        </w:rPr>
        <w:t>E. 3.2.3</w:t>
      </w:r>
    </w:p>
    <w:p>
      <w:r>
        <w:t>S'agissant des enfants, leurs charges mensuelles se montent, sur le principe (la question de la prise en charge de D______ par des tiers étant examinée ci-</w:t>
      </w:r>
    </w:p>
    <w:p>
      <w:r>
        <w:t>- 16/20 -</w:t>
      </w:r>
    </w:p>
    <w:p>
      <w:r>
        <w:t>C/14182/2021 après (consid. 3.3.2)), à 1'185 fr. chacun entre mai 2021 et janvier 2022, 1'005 fr. entre février 2022 et décembre 2022, 1'185 fr. en 2023, puis 1'432 fr. dès 2024, comprenant la part du loyer (15% de 2'411 fr., soit 361 fr. 65 entre mai 2021 et janvier 2022, 15% de la moitié de 2'411 fr., soit 181 fr. entre février 2022 et décembre 2022, puis 361 fr. 65 dès janvier 2023), la prime d'assurance-maladie (153 fr. 55, puis estimée à environ 400 fr. dès 2024, soit l'année suivant l'accès à la majorité), les frais médicaux non couverts (25 fr. 50), les frais de transports publics (45 fr.) et le montant de base OP (600 fr.), hors allocation familiales.</w:t>
      </w:r>
    </w:p>
    <w:p>
      <w:r>
        <w:rPr>
          <w:b/>
        </w:rPr>
        <w:t>E. 3.3</w:t>
      </w:r>
    </w:p>
    <w:p>
      <w:r>
        <w:t>En ce qui concerne les arriérés de contributions pour la période allant de mai 2021 à décembre 2022, l'appelante conteste sa condamnation pour deux motifs.</w:t>
      </w:r>
    </w:p>
    <w:p>
      <w:r>
        <w:rPr>
          <w:b/>
        </w:rPr>
        <w:t>E. 3.3.1</w:t>
      </w:r>
    </w:p>
    <w:p>
      <w:r>
        <w:t>Dans un premier grief, elle reproche au Tribunal de ne pas avoir tenu compte des valeurs des véhicules qu'elle a cédés à l'intimé aux fins d'entretien des enfants. Ce faisant, elle soutient avoir dûment contribué à l'entretien des enfants, de sorte qu'il ne se justifiait pas d'accorder un effet rétroactif à cet entretien.</w:t>
      </w:r>
    </w:p>
    <w:p>
      <w:r>
        <w:t>In casu, l'épouse ne saurait être suivie dès lors que la question de la cession des véhicules - dont la propriété est litigieuse - à l'intimé relève de la liquidation du régime matrimonial à intervenir dans le cadre de la procédure de divorce.</w:t>
      </w:r>
    </w:p>
    <w:p>
      <w:r>
        <w:rPr>
          <w:b/>
        </w:rPr>
        <w:t>E. 3.3.2</w:t>
      </w:r>
    </w:p>
    <w:p>
      <w:r>
        <w:t>Dans un second grief, l'appelante fait valoir qu'elle a été condamnée à s'acquitter en mains du père de montants correspondant à l'entretien convenable de D______, alors que son fils a été pris en charge par des tiers entre mi-octobre 2021 et mi-septembre 2022. Ainsi, dans l'hypothèse où son premier grief devrait être rejeté et le principe du paiement d'arriérés confirmé, seuls ceux en faveur de C______ - dont le montant n'est pas contesté - devraient être alloués.</w:t>
      </w:r>
    </w:p>
    <w:p>
      <w:r>
        <w:t>En l'occurrence, entre mai et mi-octobre 2021, les charges de D______ se sont élevées à 1'185 fr. par mois, dont il convient de déduire les allocations familiales de 400 fr., celles-ci pouvant, sur demande, être versées par l'OCAS à titre rétroactif durant cinq ans, soit à 785 fr.</w:t>
      </w:r>
    </w:p>
    <w:p>
      <w:r>
        <w:t>Entre mi-octobre 2021 et mi-septembre 2022, D______ s'est trouvé placé en détention ou en foyer, respectivement était en fugue. Durant cette période, son père a continué à assumer les frais de loyer et les frais médicaux de son fils (soit environ 541 fr. par mois jusqu'en janvier 2022, puis 360 fr. par mois dès février 2022, sans tenir compte d'allocations familiales, lesquelles ne devraient vraisemblablement pas être versées faute de formation suivie au cours de l'année en question) et a dû s'acquitter de frais de placement en foyer (dont le montant n'est pas connu) entre le 10 avril 2022 et le 25 mai 2022.</w:t>
      </w:r>
    </w:p>
    <w:p>
      <w:r>
        <w:t>Enfin, entre mi-septembre 2022 et décembre 2022, D______ est retourné chez son père et a repris une formation, de sorte que l'intimé a à nouveau supporté l'entier</w:t>
      </w:r>
    </w:p>
    <w:p>
      <w:r>
        <w:t>- 17/20 -</w:t>
      </w:r>
    </w:p>
    <w:p>
      <w:r>
        <w:t>C/14182/2021 des charges de son fils, lesquels se sont alors élevées à 605 fr. (allocations familiales déduites).</w:t>
      </w:r>
    </w:p>
    <w:p>
      <w:r>
        <w:t>Il ressort de ce qui précède que, durant la période allant de mai 2021 à décembre 2022, l'intimé a assumé des charges mensuelles relatives à D______ supérieures en moyenne au montant de 450 fr. auquel l'appelante a été condamnée.</w:t>
      </w:r>
    </w:p>
    <w:p>
      <w:r>
        <w:rPr>
          <w:b/>
        </w:rPr>
        <w:t>E. 3.3.3</w:t>
      </w:r>
    </w:p>
    <w:p>
      <w:r>
        <w:t>Par conséquent, le chiffre 5 du dispositif du jugement entrepris sera confirmé.</w:t>
      </w:r>
    </w:p>
    <w:p>
      <w:r>
        <w:rPr>
          <w:b/>
        </w:rPr>
        <w:t>E. 3.4</w:t>
      </w:r>
    </w:p>
    <w:p>
      <w:r>
        <w:t>S'agissant des contributions auxquelles l'appelante a été condamnée dès le 1er janvier 2023, celle-ci formule deux griefs à cet égard.</w:t>
      </w:r>
    </w:p>
    <w:p>
      <w:r>
        <w:rPr>
          <w:b/>
        </w:rPr>
        <w:t>E. 3.4.1</w:t>
      </w:r>
    </w:p>
    <w:p>
      <w:r>
        <w:t>En premier lieu, l'appelante considère que la rupture du lien familial entre les enfants et elle – dont elle prétend qu'elle leur serait exclusivement imputable – justifierait la suppression de leur droit au versement d'une contribution d'entretien.</w:t>
      </w:r>
    </w:p>
    <w:p>
      <w:r>
        <w:t>Elle soutient que les relations mère-fils étaient bonnes avant la séparation et que la rupture du lien familial est intervenue lors de la violente altercation qu'elle avait eue avec eux le 23 avril 2021. Depuis lors, ils refusaient catégoriquement tout contact avec elle. Au-delà de ce refus, ils adoptaient une attitude particulièrement agressive (insultes, menaces et tentatives d'intimidation, la dernière fois en janvier 2023). La séparation des parents ne justifiait pas des actes et paroles d'une telle gravité.</w:t>
      </w:r>
    </w:p>
    <w:p>
      <w:r>
        <w:t>En l'espèce, les questions de savoir si la rupture du lien entre l'appelante et ses fils est imputable à ces derniers et si ceux-ci ont adopté une attitude répréhensible à l'encontre de leur mère peuvent, en l'état, rester ouvertes. En effet, une éventuelle suppression de l'entretien des enfants en raison de l'absence de relations personnelles apparaît en tout état prématurée, dès lors que ces derniers ne sont majeurs que depuis le ______ mai 2023, soit à peine un mois.</w:t>
      </w:r>
    </w:p>
    <w:p>
      <w:r>
        <w:t>L'attention des parties est toutefois attirée sur le fait que la relation mère-fils et ses éventuelles conséquences sur la poursuite de l'entretien pourront faire l'objet d'un nouvel examen dans le futur.</w:t>
      </w:r>
    </w:p>
    <w:p>
      <w:r>
        <w:rPr>
          <w:b/>
        </w:rPr>
        <w:t>E. 3.4.2</w:t>
      </w:r>
    </w:p>
    <w:p>
      <w:r>
        <w:t>Enfin, la mère fait valoir que les contributions d'entretien ne sont pas adéquates au regard de la situation financière de l'intimé et des enfants, qui a été mal évaluée.</w:t>
      </w:r>
    </w:p>
    <w:p>
      <w:r>
        <w:t>In casu, l'entretien convenable de C______ et D______ se monte à 770 fr. par mois dès janvier 2023, puis à environ 1'017 fr. dès janvier 2024 (allocations familiales de 415 fr. - conformément à l'indexation arrêtée par Conseil d'Etat pour l'année 2023 - déduites).</w:t>
      </w:r>
    </w:p>
    <w:p>
      <w:r>
        <w:t>- 18/20 -</w:t>
      </w:r>
    </w:p>
    <w:p>
      <w:r>
        <w:t>C/14182/2021</w:t>
      </w:r>
    </w:p>
    <w:p>
      <w:r>
        <w:t>De janvier 2023 jusqu'à l'accès des enfants à la majorité, soit jusqu'au mois de mai 2023, l'appelante supportera l'intégralité des coûts de ces derniers. Le fait que le partage de l'excédent des parents ne se justifie pas au vu de la situation respective des parties n'est pas remis en cause en appel.</w:t>
      </w:r>
    </w:p>
    <w:p>
      <w:r>
        <w:t>Dès le mois de juin 2023, seule la moitié de leurs coûts devra être assumée par la mère - à savoir un montant arrondi à 390 fr. jusqu'en décembre 2023, respectivement à 510 fr. dès janvier 2024 -, dès lors que le père n'a plus à prodiguer de prestations en soins et en éducation aux enfants devenus majeurs.</w:t>
      </w:r>
    </w:p>
    <w:p>
      <w:r>
        <w:rPr>
          <w:b/>
        </w:rPr>
        <w:t>E. 3.4.3</w:t>
      </w:r>
    </w:p>
    <w:p>
      <w:r>
        <w:t>Ainsi, le chiffre 4 du dispositif du jugement entrepris sera annulé et l'appelante condamnée dans le sens de ce qui précède.</w:t>
      </w:r>
    </w:p>
    <w:p>
      <w:r>
        <w:rPr>
          <w:b/>
        </w:rPr>
        <w:t>E. 4</w:t>
      </w:r>
    </w:p>
    <w:p>
      <w:r>
        <w:t>Les frais judiciaires de la procédure d'appel seront fixés à 1'200 fr. (art. 31 et 37 RTFMC) - comprenant un émolument de 200 fr. pour la décision ACJC/347/2023 du 10 mars 2023 -, entièrement couverts par l'avance de frais opérée par l'appelante, laquelle demeure intégralement acquise à l'Etat de Genève (art. 111 al. 1 CPC).</w:t>
      </w:r>
    </w:p>
    <w:p>
      <w:r>
        <w:t>Pour des motifs d'équité liés à la nature du litige et à l'issue du litige, ils seront répartis à parts égales entre les parties, à savoir à hauteur de 600 fr. pour l'appelante et de 600 fr. pour l'intimé (art. 95, 104 al. 1, 105, 106 al. 1 et 107 al. 1 let. c CPC).</w:t>
      </w:r>
    </w:p>
    <w:p>
      <w:r>
        <w:t>Ce dernier sera, par conséquent, condamné à verser à l'appelante la somme de 600 fr. à titre de remboursement des frais judiciaires d'appel. Pour les mêmes motifs, chaque partie supportera, en revanche, ses propres dépens d'appel (art. 107 al. 1 let. c CPC). * * * * *</w:t>
      </w:r>
    </w:p>
    <w:p>
      <w:r>
        <w:t>- 19/20 -</w:t>
      </w:r>
    </w:p>
    <w:p>
      <w:r>
        <w:t>C/14182/2021</w:t>
      </w:r>
    </w:p>
    <w:p>
      <w:r>
        <w:t>PAR CES MOTIFS, La Chambre civile : A la forme : Déclare recevable l'appel interjeté le 3 février 2023 par A______ contre les chiffres 4 à</w:t>
      </w:r>
    </w:p>
    <w:p>
      <w:r>
        <w:rPr>
          <w:b/>
        </w:rPr>
        <w:t>E. 6</w:t>
      </w:r>
    </w:p>
    <w:p>
      <w:r>
        <w:t>du dispositif du jugement JTPI/15241/2022 rendu le 21 décembre 2022 par le Tribunal de première instance dans la cause C/14182/2021-11. Au fond : Annule les chiffres 4 et 6 du dispositif du jugement entrepris et, statuant à nouveau : Condamne A______ à verser en mains de B______, par mois et d'avance, allocations d'études non comprises, une contribution à l'entretien de C______ et D______ de 770 fr. pour chacun entre le 1er janvier 2023 et le 31 mai 2023. Condamne A______ à verser en mains de C______ et D______, par mois et d'avance, allocations d'études non comprises, une contribution à leur entretien de 390 fr. pour chacun entre le 1er juin 2023 et le 31 décembre 2023, puis de 510 fr. dès le 1er janvier 2024 en cas de formation professionnelle ou d'études sérieuses et régulières. Confirme le jugement entrepris pour le surplus. Déboute les parties de toutes autres conclusions. Sur les frais : Arrête les frais judiciaires d'appel à 1'200 fr., les met à la charge des parties par moitié chacune et les compense avec l'avance fournie par A______, laquelle demeure entièrement acquise à l'Etat de Genève. Condamne B______ à verser à A______ la somme de 600 fr. à titre de remboursement des frais judiciaires d'appel. Dit que chaque partie supporte ses propres dépens d'appel. Siégeant : Monsieur Laurent RIEBEN, président; Monsieur Patrick CHENAUX, Madame Fabienne GEISINGER-MARIETHOZ, juges; Madame Sophie MARTINEZ, greffière.</w:t>
      </w:r>
    </w:p>
    <w:p>
      <w:r>
        <w:t>- 20/20 -</w:t>
      </w:r>
    </w:p>
    <w:p>
      <w:r>
        <w:t>C/14182/2021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