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ACJC/716/2015 vom 19. Juni 2015</w:t>
      </w:r>
    </w:p>
    <w:p>
      <w:r>
        <w:t>GE Cour de justice, 2015-06-19, FR</w:t>
      </w:r>
    </w:p>
    <w:p>
      <w:r>
        <w:rPr>
          <w:b/>
        </w:rPr>
        <w:t xml:space="preserve">Quelle: </w:t>
      </w:r>
      <w:r>
        <w:t>https://mcp.opencaselaw.ch/entscheid/ge_gerichte_ACJC_716_2015</w:t>
      </w:r>
    </w:p>
    <w:p>
      <w:r>
        <w:t>FR: GE_GERICHTE ACJC/716/2015 du 19 juin 2015</w:t>
      </w:r>
    </w:p>
    <w:p>
      <w:r>
        <w:t>IT: GE_GERICHTE ACJC/716/2015 del 19 giugno 2015</w:t>
      </w:r>
    </w:p>
    <w:p>
      <w:pPr>
        <w:pStyle w:val="Heading2"/>
      </w:pPr>
      <w:r>
        <w:t>Erwägungen</w:t>
      </w:r>
    </w:p>
    <w:p>
      <w:r>
        <w:rPr>
          <w:b/>
        </w:rPr>
        <w:t>E. 1.1</w:t>
      </w:r>
    </w:p>
    <w:p>
      <w:r>
        <w:t>Le litige s'examine selon le droit suisse, auquel les parties ont choisi de soumettre leurs relations contractuelles dans le cadre de l'art. 7 du contrat pré- imprimé signé par l'intimé (art. 116 LDIP).</w:t>
      </w:r>
    </w:p>
    <w:p>
      <w:r>
        <w:rPr>
          <w:b/>
        </w:rPr>
        <w:t>E. 1.2</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Tel est le cas en l'espèce, au regard du montant de la prétention en paiement de l'appelante devant le premier juge, à hauteur de 400'000 € et intégralement contestée par l’intimé.</w:t>
      </w:r>
    </w:p>
    <w:p>
      <w:r>
        <w:t>L'appel a été formé dans le délai de 30 jours prévu par la loi (art. 138 al. 3 let. a, 142 al. 3 et 311 CPC). Il est ainsi recevable.</w:t>
      </w:r>
    </w:p>
    <w:p>
      <w:r>
        <w:rPr>
          <w:b/>
        </w:rPr>
        <w:t>E. 1.3</w:t>
      </w:r>
    </w:p>
    <w:p>
      <w:r>
        <w:t>La Cour revoit la cause avec un pouvoir de cognition complet (art. 55 al. 1, 58 al. 1 et 310 CPC).</w:t>
      </w:r>
    </w:p>
    <w:p>
      <w:r>
        <w:rPr>
          <w:b/>
        </w:rPr>
        <w:t>E. 2.1</w:t>
      </w:r>
    </w:p>
    <w:p>
      <w:r>
        <w:t>Le premier juge a développé à bon droit les principes juridiques ci-dessous qui seront repris par la Cour.</w:t>
      </w:r>
    </w:p>
    <w:p>
      <w:r>
        <w:t>Le contrat de commission à la vente est le contrat par lequel une personne se charge d'opérer en son nom, mais pour le compte d'une autre, la vente ou l'achat de choses mobilières, moyennant un droit de commission appelé provision (art. 425 CO; TERCIER/FAVRE, Les contrats spéciaux, 4ème éd., 2009, n. 5841, p. 883; VON PLANTA, in Commentaire romand, CR-CO I, n. 1 ad art. 425 CO). Ce contrat est soumis pour l'essentiel aux règles du mandat par renvoi de l'art. 425 al. 2 CO. Tel est le cas notamment des règles régissant la fin de ce contrat. (TERCIER/FAVRE, op. cit., n. 5835 p. 883 et n. 5912, p. 893 ; VON PLANTA, op.</w:t>
      </w:r>
    </w:p>
    <w:p>
      <w:r>
        <w:t>- 5/9 -</w:t>
      </w:r>
    </w:p>
    <w:p>
      <w:r>
        <w:t>C/4870/2013 cit., n. 1 et 6 ad art. 425 CO). Lorsque le droit à la provision n'est pas prévu et que le service est effectué à titre gratuit, il ne s'agit plus d'un contrat de commission, mais d'un contrat de mandat simple (VON PLANTA, op. cit., n. 1 ad art. 432 CO; TERCIER/FAVRE, op. cit., n. 5848, p. 884 et l'arrêt du Tribunal fédéral 4C.89/2005 cité). La vente volontaire aux enchères publiques est principalement régie par les art. 229 ss CO. A l'exception de celles qui répondent à un impératif d'ordre public (art. 230 al. 1, 232 al. 2 et 234 al. 1 et 3 in fine CO), les règles des art. 229 ss CO sont de droit dispositif. Leur application peut donc être écartée, notamment par les conditions de vente (VULLIETY, in Commentaire romand, CR-CO I, n.19 ad. intro. art. 229-236). Ainsi, la quasi-totalité des ventes aux enchères est-elle précisément régie par des conditions de vente qui règlent, notamment, le déroulement des enchères, ainsi que la conclusion du contrat et son exécution. Ces conditions de vente sont des conditions générales qui peuvent être opposées aux enchérisseurs et aux adjudicataires, à condition que ceux-ci aient été expressément informés de leur existence et qu'ils aient eu la possibilité d'en prendre connaissance (VULLIETY, op. cit., n. 3 et 4 ad art. 231). La validité des conditions générales d'affaires préformées doit toutefois être limitée par la règle dite de l'insolite (Ungewöhnlichkeitsregel). En vertu de cette règle sont soustraites de l'adhésion censée avoir été donnée globalement à des conditions générales, toutes les clauses inhabituelles sur l'existence desquelles l'attention de la partie la plus faible ou la moins expérimentée en affaire n'a pas été spécialement attirée (ATF 135 III 1; 119 II 443).</w:t>
      </w:r>
    </w:p>
    <w:p>
      <w:r>
        <w:rPr>
          <w:b/>
        </w:rPr>
        <w:t>E. 2.2</w:t>
      </w:r>
    </w:p>
    <w:p>
      <w:r>
        <w:t>En l'espèce, l'appelante est une professionnelle dans le domaine de la vente aux enchères de pièces philatéliques. Elle s'est engagée à rendre un service à l'intimé, consistant à vendre aux enchères, pour son compte, au printemps 2013, sa collection de timbres qui devait être remise à l'appelante le 15 août 2012 au plus tard. Il découle en outre des indications manuscrites figurant sur le "Reçu de marchandise" signé par les parties le 5 juin 2012, du courriel de C.______ à l'intimé du 27 juin 2012 que les parties étaient convenues du fait que le vendeur, soit l'appelante, renonçait à sa commission "vendeur" ("commission vendeur 0% zéro") ainsi qu'aux frais annexes autres qu'une prime d'assurance à la charge de l'intimé. C'est dès lors à juste titre que le Tribunal a retenu que les parties avaient conclu un contrat à titre gratuit.</w:t>
      </w:r>
    </w:p>
    <w:p>
      <w:r>
        <w:t>- 6/9 -</w:t>
      </w:r>
    </w:p>
    <w:p>
      <w:r>
        <w:t>C/4870/2013 S'agissant de la commission "acheteur" de 20% prévue dans les "conditions of sale" dont se prévaut l'appelante pour la réclamer à l'intimé, il n'est ni établi ni allégué que ces conditions générales pré-imprimées ont bien été soumises à B.______ et qu'il les a acceptées lorsqu'il a signé le "Reçu de marchandise" du 5 juin, de même qu'à une date indéterminée, les clauses contractuelles complétant ce reçu. Par ailleurs, au vu de leur contenu, il apparaît que ces "conditions of sale" règlementent les modalités de la vente aux enchères subséquente de la collection de l'intimé et non les modalités proprement dites du contrat de base conclu entre les parties. Dès lors, la commission de 20% réclamée à l'intimé, dont il apparaît qu'elle aurait dû être à la charge du futur acheteur de la collection en cause, qui aurait alors été un tiers au contrat de base liant les parties, n'est pas opposable à l'intimé et n'a aucune incidence sur le caractère gratuit du contrat de base précité. Dans ces circonstances, c'est à bon droit que le premier juge a retenu que, faute de présenter un caractère onéreux, le contrat conclu par les parties constituait un contrat de mandat simple, par opposition au contrat de commission.</w:t>
      </w:r>
    </w:p>
    <w:p>
      <w:r>
        <w:rPr>
          <w:b/>
        </w:rPr>
        <w:t>E. 3</w:t>
      </w:r>
    </w:p>
    <w:p>
      <w:r>
        <w:t>L’appelante reproche, en substance, au Tribunal d'avoir ignoré la teneur de l'art. 2.7 du "CONTRAT DE MANDAT POUR L'ESTIMATION ET/OU LA MISE EN VENTE DE MARCHANDISE" signé à une date indéterminée par l'intimé et complétant le "Reçu de marchandise" signé par les parties le 5 juin 2012, cet art. 2.7. réglant les modalités de retrait en mains de l'appelante, avant sa vente, de la marchandise reçue de l'intimé en vue de cette vente ainsi que les pénalités consécutives à un tel retrait.</w:t>
      </w:r>
    </w:p>
    <w:p>
      <w:r>
        <w:rPr>
          <w:b/>
        </w:rPr>
        <w:t>E. 3.1</w:t>
      </w:r>
    </w:p>
    <w:p>
      <w:r>
        <w:t>Selon l'art. 394 CO, le mandat est un contrat par lequel le mandataire s'oblige, dans les termes de la convention, à gérer l'affaire dont il s'est chargé ou à rendre les services qu'il a promis (al. 1). Les règles du mandat s'appliquent aux travaux qui ne sont pas soumis aux dispositions légales régissant d'autres contrats (al. 2). Une rémunération est due au mandataire si la convention ou l'usage lui en assure une (al. 3).</w:t>
      </w:r>
    </w:p>
    <w:p>
      <w:r>
        <w:rPr>
          <w:b/>
        </w:rPr>
        <w:t>E. 3.2</w:t>
      </w:r>
    </w:p>
    <w:p>
      <w:r>
        <w:t>Selon l'art. 404 CO, le contrat peut être révoqué ou répudié en tout temps (al. 1). Celle des parties qui révoque ou répudie le contrat en temps inopportun doit toutefois indemniser l'autre du dommage qu'elle lui cause (al. 2).</w:t>
      </w:r>
    </w:p>
    <w:p>
      <w:r>
        <w:t>La révocation en temps inopportun est celle que le mandant ne justifie par aucun motif sérieux et qui entraîne un préjudice particulier pour le mandataire, tels que les frais désormais inutilement engagés en vue de l'exécution du mandat concerné, ou les gains auxquels le mandataire a renoncé en vue de se consacrer à ce même mandat. L'art. 404 al. 2 CO ne permet pas d'exiger le remplacement du gain que la continuation du mandat aurait procuré au mandataire, la notion de l'inopportunité de la révocation étant étroitement liée au préjudice direct qui en résulte. La</w:t>
      </w:r>
    </w:p>
    <w:p>
      <w:r>
        <w:t>- 7/9 -</w:t>
      </w:r>
    </w:p>
    <w:p>
      <w:r>
        <w:t>C/4870/2013 révocation est, en soi, conforme aux règles du contrat de mandat même si elle ne procède d'aucun motif objectif; c'est pourquoi seule l'existence d'un préjudice particulier justifie une sanction à l'exercice inopportun du droit de révocation (ATF 106 II 157 consid. 2c, 110 II 380 consid. 4b, 109 II 462 consid. 4d; arrêts du Tribunal fédéral 4A_284/2013 du 13 février 2014 consid. 3.6.1 et 4A_294/2012 du 8 octobre 2012 consid. 7.2).</w:t>
      </w:r>
    </w:p>
    <w:p>
      <w:r>
        <w:t>Les cocontractants peuvent valablement prévoir que la révocation en temps inopportun autorisera le mandataire à réclamer une peine conventionnelle, laquelle ne peut pas être destinée à remplacer le gain manqué par le mandataire, ce qui serait incompatible avec l'art. 404 al. 1 CO (ATF 110 II 380 consid. 4, arrêt du Tribunal fédéral 4A_294/2012 du 8 octobre 2012 consid. 7.2 et les références citées).</w:t>
      </w:r>
    </w:p>
    <w:p>
      <w:r>
        <w:rPr>
          <w:b/>
        </w:rPr>
        <w:t>E. 3.3</w:t>
      </w:r>
    </w:p>
    <w:p>
      <w:r>
        <w:t>En l'espèce, l'intimé n'a jamais remis sa collection à l’appelante, à la date convenue du 15 août 2012 ou à une autre date. En effet, il l’a vendue à un tiers avant cette date, ce dont il a informé l’appelante le 31 juillet 2012, soit également avant la date du 15 août 2012 prévue pour la remise de cette collection à ladite appelante. Ce faisant, l'intimé a fait usage par actes concluants de son droit de résilier en tout temps le mandat le liant à l'appelante, comme l'y autorisait l'art. 404 al. 2 CO, l'appelante ne contestant d'ailleurs pas la validité de cette résiliation. Elle avait en revanche pour conséquence d'exposer l'intimé à devoir payer des dommages-intérêts négatifs à l'appelante au cas où cette résiliation devait être considérée comme intervenue en temps inopportun. Il apparaît toutefois que ce n'est pas le cas en l'espèce. En effet, le 31 juillet 2012, l'appelante n'avait pas encore commencé les préparatifs ni engagé des frais en vue de la vente aux enchères de la collection de timbres en question, projetée au printemps 2013, du moins ne l'a-t'elle pas démontré ni ne s'est pas prévalue de tels frais inutilement engagés en vue de l'exécution du contrat de mandat ayant lié les parties avant sa résiliation. L'appelante se fonde en outre à tort sur l'art. 2.7 des dispositions contractuelles pré-imprimées complétant l’accord manuscrit l’ayant liée à l’intimé. En effet, cette disposition régit la récupération avant sa vente (retrait anticipé) par son propriétaire d’une marchandise préalablement remise à ladite appelante en vue d'une vente, alors que l'intimé n'a in concreto jamais remis sa collection en cause à l'appelante avant de la vendre lui-même à un tiers, de sorte que cette disposition contractuelle n'est pas applicable au présent litige.</w:t>
      </w:r>
    </w:p>
    <w:p>
      <w:r>
        <w:t>- 8/9 -</w:t>
      </w:r>
    </w:p>
    <w:p>
      <w:r>
        <w:t>C/4870/2013 En tout état de cause, cette clause contractuelle ne saurait prévoir la réparation du gain manqué, incompatible avec la teneur de l'art. 404 al. 1 CO régissant la résiliation en temps inopportun non réalisée en l'espèce. En effet, cette disposition légale ne permet pas d'exiger le remplacement du gain que la continuation du mandat aurait procuré au mandataire.</w:t>
      </w:r>
    </w:p>
    <w:p>
      <w:r>
        <w:rPr>
          <w:b/>
        </w:rPr>
        <w:t>E. 3.4</w:t>
      </w:r>
    </w:p>
    <w:p>
      <w:r>
        <w:t>Vu l'ensemble de ce qui précède, le présent appel sera rejeté.</w:t>
      </w:r>
    </w:p>
    <w:p>
      <w:r>
        <w:rPr>
          <w:b/>
        </w:rPr>
        <w:t>E. 4.1</w:t>
      </w:r>
    </w:p>
    <w:p>
      <w:r>
        <w:t>Si l’instance d’appel statue à nouveau, elle doit se prononcer sur les frais de première instance (art. 318 al. 3 CPC), ce qui n'est pas le cas en l'espèce, l'appel étant simplement rejeté.</w:t>
      </w:r>
    </w:p>
    <w:p>
      <w:r>
        <w:rPr>
          <w:b/>
        </w:rPr>
        <w:t>E. 4.2</w:t>
      </w:r>
    </w:p>
    <w:p>
      <w:r>
        <w:t>Il y a lieu en revanche de statuer sur les frais d'appel, qui seront fixés à 10'000 fr. (art. 95, 104 al. 1, 105 CPC; art. 17 et 35 RTFMC), montant entièrement couvert par l'avance de frais versée par l'appelante à hauteur de 20'000 fr., qui demeure acquise à l'Etat à concurrence de ce montant de 10'000 fr. (art. 111 al. 1 CPC). Les Services financiers du Pouvoir judiciaire seront par conséquent invités à restituer le solde trop-perçu de 10'000 fr. à l'appelante (art. 95, 104 al. 1, 105, 106 al. 1 CPC). Compte tenu de l'issue du litige, l'appelante sera condamnée à verser à l'intimé des dépens d'appel également arrêtés à 10'000 fr., TVA et débours compris (art. 95, 104 al. 1, 105 al. 1 et 106 al. 1 CPC; art. 20, 25 et 26 al. 1 LaCC; art. 25 al. 1 LTVA; art. 84, 85 al. 1 et 90 RTFMC). * * * * *</w:t>
      </w:r>
    </w:p>
    <w:p>
      <w:r>
        <w:t>- 9/9 -</w:t>
      </w:r>
    </w:p>
    <w:p>
      <w:r>
        <w:t>C/4870/2013 PAR CES MOTIFS, La Chambre civile : A la forme : Déclare recevable l'appel interjeté le 31 octobre 2014 par A.______ SA contre le jugement JTPI/12157/2014 prononcé le 30 septembre 2014 par le Tribunal de première instance dans la cause C/4870/2013-6. Au fond : Confirme ce jugement. Déboute les parties de toutes autres conclusions. Sur les frais : Arrête les frais judiciaires d'appel à 10'000 fr., les met à la charge d'A.______ SA et dit qu'ils sont compensés à due concurrence avec l'avance de frais de 20'000 fr. versée par ce dernier, qui reste acquise à l'Etat de Genève. Ordonne par conséquent aux Services financiers du Pouvoir judiciaire de restituer à A.______ SA le trop-perçu d'avance de frais de 10'000 fr. Condamne A.______ SA à verser à B.______ la somme de 10'000 fr. au titre des dépens d'appel.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