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ACJC/714/2024 vom 6. Juni 2024</w:t>
      </w:r>
    </w:p>
    <w:p>
      <w:r>
        <w:t>GE Cour de justice, 2024-06-06, FR</w:t>
      </w:r>
    </w:p>
    <w:p>
      <w:r>
        <w:rPr>
          <w:b/>
        </w:rPr>
        <w:t xml:space="preserve">Quelle: </w:t>
      </w:r>
      <w:r>
        <w:t>https://mcp.opencaselaw.ch/entscheid/ge_gerichte_ACJC_714_2024</w:t>
      </w:r>
    </w:p>
    <w:p>
      <w:r>
        <w:t>FR: GE_GERICHTE ACJC/714/2024 du 6 juin 2024</w:t>
      </w:r>
    </w:p>
    <w:p>
      <w:r>
        <w:t>IT: GE_GERICHTE ACJC/714/2024 del 6 giugno 2024</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est supérieure à 10'000 fr. (art. 308 al. 2 CPC). L'appel, écrit et motivé, est introduit auprès de l'instance d'appel dans les 30 jours à compter de la notification de la décision motivée (art. 311 al. 1 CPC). Il peut être formé pour violation du droit (art. 310 let. a CPC) et/ou constatation inexacte des faits (art. 310 let. b CPC).</w:t>
      </w:r>
    </w:p>
    <w:p>
      <w:r>
        <w:rPr>
          <w:b/>
        </w:rPr>
        <w:t>E. 1.2</w:t>
      </w:r>
    </w:p>
    <w:p>
      <w:r>
        <w:t>La présente cause est régie par la procédure simplifiée applicable aux enfants dans les affaires de droit de la famille selon l'art. 295 CPC. Les maximes d'office et inquisitoire illimitée sont applicables (art. 296 al. 1 et al. 3 CPC).</w:t>
      </w:r>
    </w:p>
    <w:p>
      <w:r>
        <w:rPr>
          <w:b/>
        </w:rPr>
        <w:t>E. 1.3</w:t>
      </w:r>
    </w:p>
    <w:p>
      <w:r>
        <w:t>L'intimée conclut à l'irrecevabilité de l'appel, faisant valoir que le mémoire du 1er février 2024 n'est pas motivé et ne comporte aucune conclusion.</w:t>
      </w:r>
    </w:p>
    <w:p>
      <w:r>
        <w:rPr>
          <w:b/>
        </w:rPr>
        <w:t>E. 1.3.1</w:t>
      </w:r>
    </w:p>
    <w:p>
      <w:r>
        <w:t>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w:t>
      </w:r>
    </w:p>
    <w:p>
      <w:r>
        <w:t>- 6/8 -</w:t>
      </w:r>
    </w:p>
    <w:p>
      <w:r>
        <w:t>C/26778/2020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son recours est irrecevable. Ainsi,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(arrêt du Tribunal fédéral 4A_463/2023 du 24 avril 2024 consid. 4.1 et les références citées). Ni la maxime inquisitoire illimitée ni la maxime d'office ne libèrent les parties de l'obligation de motiver formellement les actes adressés à l'instance d'appel (ATF 138 III 374 consid. 4.3.1; arrêts du Tribunal fédéral 5A_236/2016; 5A_239/2016 du 15 janvier 2018 consid. 3.2.3 et 3.3.3). Même si l'art. 311 al. 1 CPC ne le mentionne pas, le mémoire d'appel doit contenir des conclusions, lesquelles doivent indiquer sur quels points l'appelant demande la modification ou l'annulation de la décision attaquée. Ces conclusions doivent en principe être libellées de telle manière que l'autorité d'appel puisse, s'il y a lieu, les incorporer sans modification au dispositif de sa propre décision. Selon la jurisprudence, l'irrecevabilité de conclusions d'appel ne satisfaisant pas à ces principes peut toutefois contrevenir au principe de l'interdiction du formalisme excessif (art. 29 al. 1 Cst.). Ainsi, à titre exceptionnel, l'autorité d'appel doit entrer en matière sur un appel comprenant des conclusions formellement déficientes s'il ressort clairement de la motivation, mise en relation avec la décision attaquée, ce que l'appelant demande. Les conclusions doivent être interprétées à la lumière des motifs (arrêt du Tribunal fédéral 4A_462/2022 du 6 mars 2023 consid. 6.1). Les demandes portant sur le paiement d'une somme d'argent doivent être chiffrées. L'application de la maxime d'office dans le domaine de l'entretien de l'enfant (art. 296 al. 3 CPC) ne change rien à cette exigence : en procédure d'appel, des conclusions chiffrées sont donc également nécessaires pour l'entretien de l'enfant (arrêt du Tribunal fédéral 5A_65/2022 du 16 janvier 2023 consid. 3.3 et les arrêts cités). Exceptionnellement, l'autorité d'appel est tenue d'entrer en matière sur un appel dont les conclusions sont formellement lacunaires si le montant réclamé ressort clairement de la motivation (arrêt du Tribunal fédéral 5A_380/2012 du 27 août 2012 consid. 3.2.3). En revanche, si la lecture du mémoire d'appel ne permet</w:t>
      </w:r>
    </w:p>
    <w:p>
      <w:r>
        <w:t>- 7/8 -</w:t>
      </w:r>
    </w:p>
    <w:p>
      <w:r>
        <w:t>C/26778/2020 pas de déterminer aisément les montants au paiement desquels l'appelant conclut, l'autorité d'appel peut déclarer l'appel irrecevable sans faire preuve de formalisme excessif (arrêt du Tribunal fédéral 5A_65/2022 précité consid. 3.4). La motivation d'un acte d'appel doit être entièrement contenue dans le mémoire d'appel lui-même. Elle ne peut être complétée ou corrigée ultérieurement. Si elle fait défaut, la juridiction d'appel n'entre pas en matière. Il en va de même pour les conclusions d'appel. En effet, il ne peut être remédié à un défaut de motivation ou à des conclusions déficientes, de tels vices n'étant pas d'ordre formel et affectant l'appel de manière irréparable, ce même si le mémoire émane d'une personne sans formation juridique (arrêt du Tribunal fédéral 5A_959/2023 du 23 janvier 2024 consid. 3.2. et les références citées).</w:t>
      </w:r>
    </w:p>
    <w:p>
      <w:r>
        <w:rPr>
          <w:b/>
        </w:rPr>
        <w:t>E. 1.3.2</w:t>
      </w:r>
    </w:p>
    <w:p>
      <w:r>
        <w:t>En l'espèce, l'appelant n'a articulé aucune conclusion devant la Cour. Il s'est limité à faire valoir qu'il n'aurait pas les moyens financiers de continuer à payer la contribution d'entretien de E______ dans son intégralité et qu'il serait inéquitable de lui faire supporter l'entier des besoins financiers de l'enfant. Or cette motivation peu étayée ne permet pas de déterminer ce qu'il entend concrètement obtenir devant la Cour. En particulier, on ignore à quel montant la contribution litigieuse devrait être fixée selon lui, respectivement à partir de quelle date la modification souhaitée devrait prendre effet. Dépourvu de conclusions chiffrées et intelligibles, l'appel est irrecevable pour cette raison déjà. L'appelant s'est par ailleurs limité à substituer sa propre appréciation à celle du Tribunal et à formuler des critiques toutes générales du jugement attaqué, sans reprendre la démarche du premier juge ni mettre le doigt sur les failles de son raisonnement, ce qui ne répond pas aux exigences de motivation rappelées ci- dessus. En particulier, l'appelant n'expose pas, même succinctement, en quoi ce jugement serait entaché d'erreurs - que ce soit dans l'établissement des faits et/ou dans l'application du droit - en tant que le Tribunal a retenu qu'aucune circonstance nouvelle ne justifiait de modifier la contribution fixée en faveur de E______. L'appel est irrecevable pour cette raison également.</w:t>
      </w:r>
    </w:p>
    <w:p>
      <w:r>
        <w:rPr>
          <w:b/>
        </w:rPr>
        <w:t>E. 2</w:t>
      </w:r>
    </w:p>
    <w:p>
      <w:r>
        <w:t>Les frais judiciaires d'appel seront arrêtés à 500 fr. (art. 32 et 35 RTFMC) et mis à la charge de l'appelant qui succombe (art. 106 al. 1 CPC). Vu que celui-ci plaide au bénéfice de l'assistance judiciaire, ces frais seront laissés provisoirement à la charge de l'Etat de Genève qui pourra en solliciter le remboursement selon l'art. 123 CPC.</w:t>
      </w:r>
    </w:p>
    <w:p>
      <w:r>
        <w:t>Pour des motifs d'équité liés à la nature familiale du litige, il ne sera pas alloué de dépens d'appel (art. 107 al. 1 let. c CPC). * * * * *</w:t>
      </w:r>
    </w:p>
    <w:p>
      <w:r>
        <w:t>- 8/8 -</w:t>
      </w:r>
    </w:p>
    <w:p>
      <w:r>
        <w:t>C/26778/2020</w:t>
      </w:r>
    </w:p>
    <w:p>
      <w:r>
        <w:t>PAR CES MOTIFS, La Chambre civile :</w:t>
      </w:r>
    </w:p>
    <w:p>
      <w:r>
        <w:t>Déclare irrecevable l'appel interjeté le 1er février 2024 par A______ contre le jugement JTPI/15080/2023 rendu le 21 décembre 2023 par le Tribunal de première instance dans la cause C/26778/2020. Arrête les frais judiciaires d'appel à 500 fr., les met à la charge de A______, mais les laisse provisoirement à la charge de l'Etat de Genève. Dit qu'il n'est pas alloué de dépens d'appel. Siégeant : Madame Nathalie RAPP, présidente; Madame Sylvie DROIN, Monsieur Jean REYMOND, juges; Madame Sandra CARRIER, greffière. La présidente : Nathalie RAPP</w:t>
      </w:r>
    </w:p>
    <w:p>
      <w:r>
        <w:t>La greffière : Sandra CARRIER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