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ACJC/711/2019 vom 27. Mai 2019</w:t>
      </w:r>
    </w:p>
    <w:p>
      <w:r>
        <w:t>GE Cour de justice, 2019-05-27, FR</w:t>
      </w:r>
    </w:p>
    <w:p>
      <w:r>
        <w:rPr>
          <w:b/>
        </w:rPr>
        <w:t xml:space="preserve">Quelle: </w:t>
      </w:r>
      <w:r>
        <w:t>https://mcp.opencaselaw.ch/entscheid/ge_gerichte_ACJC_711_2019</w:t>
      </w:r>
    </w:p>
    <w:p>
      <w:r>
        <w:t>FR: GE_GERICHTE ACJC/711/2019 du 27 mai 2019</w:t>
      </w:r>
    </w:p>
    <w:p>
      <w:r>
        <w:t>IT: GE_GERICHTE ACJC/711/2019 del 27 maggio 2019</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311 al. 1 CPC), dans une cause où la valeur des contributions périodiques réclamées excède 10'000 fr. (cf. art. 92 al. 2 CPC), l'appel est en l'espèce recevable.</w:t>
      </w:r>
    </w:p>
    <w:p>
      <w:r>
        <w:rPr>
          <w:b/>
        </w:rPr>
        <w:t>E. 1.2</w:t>
      </w:r>
    </w:p>
    <w:p>
      <w:r>
        <w:t>S'agissant des conclusions de l'intimée formulées pour la première fois au stade de sa réponse à l'appel, elles s'apparentent à un appel joint et sont par conséquent irrecevables (art. 314 al. 2 CPC; arrêts du Tribunal fédéral 5A_403/2016 du 24 février 2017 consid. 4.2.2; 5A_386/2014 du 1er décembre 2014 consid. 6.2).</w:t>
      </w:r>
    </w:p>
    <w:p>
      <w:r>
        <w:rPr>
          <w:b/>
        </w:rPr>
        <w:t>E. 1.3</w:t>
      </w:r>
    </w:p>
    <w:p>
      <w:r>
        <w:t>Les parties, qui sont de nationalité étrangère, sont domiciliées à Genève. Avec raison, elles ne remettent pas en cause la compétence des tribunaux genevois pour connaître du litige (art. 46 LDIP), ni l'application du droit suisse (art. 49 LDIP et art. 4 de la Convention de La Haye du 2 octobre 1973 sur la loi applicable aux obligations alimentaires [RS 0.21.1.213.01]).</w:t>
      </w:r>
    </w:p>
    <w:p>
      <w:r>
        <w:rPr>
          <w:b/>
        </w:rPr>
        <w:t>E. 1.4</w:t>
      </w:r>
    </w:p>
    <w:p>
      <w:r>
        <w:t>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t>- 7/14 -</w:t>
      </w:r>
    </w:p>
    <w:p>
      <w:r>
        <w:t>C/18517/2018 La Cour ne revoit la cause que dans la limite des griefs suffisamment motivés qui sont formulés (arrêts du Tribunal fédéral 4A_290/2014 du 1er septembre 2014 consid. 5; 5A_89/2014 du 15 avril 2011 consid. 5.3.2).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 possibilité pour les parties d'invoquer des faits et moyens de preuve nouveaux en procédure d'appel (ATF 138 III 625 consid. 2.2; arrêt du Tribunal fédéral 4A_310/20l2 du 1er octobre 2012 consid. 2.1). La loi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En l'espèce, le courrier du 20 décembre 2018 de C______ à l'appelant (pièce 12) est recevable, dans la mesure où la pièce a été établie après que la cause a été gardée à juger par le Tribunal. Il en va de même des faits visés par cette pièce, ainsi que des allégués que l'appelant précise en appel et qui résultent de sa lettre du 20 septembre 2018 à la ville de F______ [VD], de la réponse de C______ du 21 septembre 2018, du projet de retraite au 1er janvier 2019 annexé à cette lettre, ainsi que de la lettre du 1er octobre 2018 de la ville de F______ [VD]. Les deux contrats de bail déposés le 7 janvier 2019 par l'appelant n'ont pas été produits sans retard, puisqu'ils auraient pu être déposés dans le délai d'appel. Cependant, dans la mesure où ils visent une baisse des charges de l'appelant et où l'intimée ne s'oppose pas à leur production, ils seront pris en considération par la Cour.</w:t>
      </w:r>
    </w:p>
    <w:p>
      <w:r>
        <w:rPr>
          <w:b/>
        </w:rPr>
        <w:t>E. 3</w:t>
      </w:r>
    </w:p>
    <w:p>
      <w:r>
        <w:t>juillet 2013 consid. 4.2.2).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5A_372/2016 du 18 novembre 2016 consid. 3.1).</w:t>
      </w:r>
    </w:p>
    <w:p>
      <w:r>
        <w:rPr>
          <w:b/>
        </w:rPr>
        <w:t>E. 3.1.1</w:t>
      </w:r>
    </w:p>
    <w:p>
      <w:r>
        <w:t>Même lorsqu'on ne peut plus sérieusement compter sur une reprise de la vie commune, l'art. 163 CC demeure la cause de l'obligation d'entretien réciproque des époux (ATF 137 III 385 consid. 3.1; 130 III 537 consid. 3.2).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(ATF 129 III 7 consid. 3.1.1; 121 I 97 consid. 3b; 118 II 376 consid. 20b et les références).</w:t>
      </w:r>
    </w:p>
    <w:p>
      <w:r>
        <w:t>Le principe du clean break ne joue, en tant que tel, pas de rôle dans le cadre des mesures protectrices de l'union conjugale (arrêt du Tribunal fédéral 5A_445/2014 du 28 août 2014 consid. 4.2).</w:t>
      </w:r>
    </w:p>
    <w:p>
      <w:r>
        <w:rPr>
          <w:b/>
        </w:rPr>
        <w:t>E. 3.1.2</w:t>
      </w:r>
    </w:p>
    <w:p>
      <w:r>
        <w:t>Le principe et le montant de la contribution d'entretien due à un époux selon l'art. 176 al. 1 ch. 1 CC se déterminent en fonction des facultés économiques et des besoins respectifs des conjoints (ATF 138 III 97 consid. 2.2; 137 III 385 consid. 3.1). La loi ne prescrit toutefois pas de méthode de calcul particulière pour arrêter la contribution d'entretien (ATF 140 III 337 consid. 4.2.2; arrêt du Tribunal fédéral 5A_787/2016 du 12 janvier 2017 consid. 4.2.1). Sa fixation relève du pouvoir d'appréciation du juge du fait, qui jouit à cet égard d'un large pouvoir et applique les règles du droit et de l'équité (art. 4 CC; ATF 134 III 577 consid. 4; arrêt du Tribunal fédéral 5A_267/2014 du 15 septembre 2014 consid. 5.1). L'une des méthodes de calcul en cas de situations financières modestes ou moyennes et tant que dure le mariage est celle dite du minimum vital, avec répartition de l'excédent (ATF 140 III 337 consid. 4.2.2; arrêts du Tribunal fédéral 5A_787/2016 du 12 janvier 2017 consid. 4.2.1; 5A_860/2013 du 29 janvier 2014 consid. 4.1 et 5A_547/2012 du 14 mars 2013 consid. 4.1). Selon cette méthode, lorsque le revenu total des conjoints dépasse leur minimum vital de base du droit des poursuites (art. 93 LP), auquel sont ajoutées, si la situation le permet, les dépenses non strictement nécessaires, l'excédent est en règle générale réparti par</w:t>
      </w:r>
    </w:p>
    <w:p>
      <w:r>
        <w:t>- 9/14 -</w:t>
      </w:r>
    </w:p>
    <w:p>
      <w:r>
        <w:t>C/18517/2018 moitié entre eux (ATF 126 III 8 consid. 3c; 121 I 97 consid. 3b; arrêt du Tribunal fédéral 5A_787/2016 du 12 janvier 2017 consid. 4.2.1). L'obligation d'entretien trouve sa limite dans la capacité contributive du débirentier, en ce sens que le minimum vital de celui-ci doit être préservé (ATF 140 III 337 consid. 4.3; 137 III 59 consid. 4.2.1 et 4.2.2; arrêt du Tribunal fédéral 5A_104/2017 du 11 mai 2017 consid. 3.3.4.2).</w:t>
      </w:r>
    </w:p>
    <w:p>
      <w:r>
        <w:rPr>
          <w:b/>
        </w:rPr>
        <w:t>E. 3.1.3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5A_137/2012 du</w:t>
      </w:r>
    </w:p>
    <w:p>
      <w:r>
        <w:rPr>
          <w:b/>
        </w:rPr>
        <w:t>E. 3.1.4</w:t>
      </w:r>
    </w:p>
    <w:p>
      <w:r>
        <w:t>L'art. 75 du Statut du personnel de la ville de F______ [VD] dispose que le fonctionnaire prend sa retraite à la fin du mois au cours duquel il atteint l'âge ordinaire de la retraite fixé dans le Statut de la caisse de retraite et cesse de faire partie de l'administration municipale (al. 1), que le fonctionnaire peut faire valoir ses droits à la retraite anticipée dans les limites fixées par la législation fédérale en matière de prévoyance professionnelle (al. 2) et que le fonctionnaire ayant atteint l'âge ordinaire de la retraite fixé dans le Statut de la caisse de retraite peut demander au Conseil administratif de poursuivre son activité au maximum jusqu'aux âges ordinaires de la retraite selon la loi sur l'assurance vieillesse et survivants (al. 3).</w:t>
      </w:r>
    </w:p>
    <w:p>
      <w:r>
        <w:t>Selon l'art.18 du Règlement de prévoyance de ______ "Ville de Genève et les autres communes genevoises" (C______), l'assuré peut faire valoir son droit à une pension de retraite dès l'âge de 58 ans révolus, et au plus tard à l'âge de 64 ans révolus, âge ordinaire de la retraite, sous réserve de l'alinéa 3 (al. 1). Avec l'accord préalable de l'employeur, l'assuré peut faire valoir son droit à une pension de retraite après l'âge de 64 ans révolus, mais au plus tard aux âges ordinaires de la retraite selon la LAVS (al. 3).</w:t>
      </w:r>
    </w:p>
    <w:p>
      <w:r>
        <w:t>En outre, le bénéficiaire d'une pension de retraite a droit à une avance remboursable en viager, destinée à compléter ses revenus jusqu'à la date précédant le début du versement d'une rente de l'AVS/AI (art. 22 al. 1 du Règlement).</w:t>
      </w:r>
    </w:p>
    <w:p>
      <w:r>
        <w:t>- 10/14 -</w:t>
      </w:r>
    </w:p>
    <w:p>
      <w:r>
        <w:t>C/18517/2018</w:t>
      </w:r>
    </w:p>
    <w:p>
      <w:r>
        <w:rPr>
          <w:b/>
        </w:rPr>
        <w:t>E. 3.2</w:t>
      </w:r>
    </w:p>
    <w:p>
      <w:r>
        <w:t>En l'espèce, compte tenu des principes rappelés ci-dessus, c'est à tort que l'appelant préconise l'application du principe du clean break. C'est à juste titre que le Tribunal a appliqué la méthode du minimum vital avec répartition de l'excédent. En revanche, il est établi que, depuis le 1er janvier 2019, l'appelant est à la retraite et ne perçoit qu'une rente du 2ème pilier de 3'180 fr. par mois (montant arrondi), dans la mesure où il a finalement renoncé à solliciter l'octroi de l'avance remboursable en viager destinée à compléter ses revenus jusqu'à la date précédant le début du versement de la rente de l'AVS. Cela étant, l'appelant a admis que c'est parce qu'il estimait n'avoir "plus de famille" qu'il avait finalement décidé de renoncer à solliciter l'accord de son employeur pour faire valoir son droit à une pension de retraite à partir de juin 2019. Il a ainsi renoncé volontairement jusqu'en mai 2019 - alors qu'il savait qu'il lui incombait d'assumer une obligation d'entretien - au revenu qu'il gagnait précédemment, à savoir un montant mensuel de l'ordre de 7'035 fr. (montant basé sur le revenu total de l'année 2017). Les parties ne précisent pas à quelle date est intervenue la séparation. Cependant, les pièces produites, en particulier les deux baux déposés par l'appelant, rendent vraisemblable que celle-ci est intervenue le 16 décembre 2018. Ainsi, il sera retenu d'une part que la contribution d'entretien est due à partir de cette date et, d'autre part, qu'un revenu de 7'035 fr. par mois doit être imputé à l'appelant pour la période du 16 décembre 2018 au 31 mai 2019. L'appelant ne critique pas en détail le raisonnement du Tribunal relatif au revenu hypothétique de son épouse. De plus, le revenu hypothétique de 2'930 fr. imputé par le premier juge à l'intimée correspond approximativement au résultat du calculateur national de salaire pour une activité que l'on peut exiger d'un employé de 43 ans, avec une ancienneté de deux ans, sans formation professionnelle complète et sans fonction de cadre, comme aide de ménage dans la branche des autres services personnels dans le canton de Genève (3'520 fr. comme valeur centrale pour 40 heures par semaine, dont à déduire 15% environ de charges, soit un revenu mensuel net de l'ordre de 2'990 fr.). Le raisonnement du Tribunal, qui a considéré qu'il peut être exigé de l'intimée qu'elle travaille à 75% à compter du 1er avril 2019, puis à 100% à partir du 1er juillet 2019, ne fait pas l'objet d'une critique motivée de la part de l'appelant. La solution est par ailleurs équitable. Enfin, contrairement à ce que soutient l'intimée, il résulte du bail de l'appartement conclu par l'appelant le 15 décembre 2018, que le logement est destiné uniquement à l'époux et non pas aux deux enfants majeurs de celui-ci. En outre, le garage est loué conjointement avec le logement. Ainsi, le loyer de l'appelant, à compter du 16 décembre 2018, est de 1'280 fr., provisions pour charges, téléréseau et garage compris. Dans la mesure où les autres postes ne sont pas contestés, le total des charges de l'époux sera retenu à concurrence de 3'458 fr. (loyer de 1'280 fr., en lieu et place du loyer de 1'390 fr. estimé par le Tribunal).</w:t>
      </w:r>
    </w:p>
    <w:p>
      <w:r>
        <w:t>- 11/14 -</w:t>
      </w:r>
    </w:p>
    <w:p>
      <w:r>
        <w:t>C/18517/2018 Les charges de l'épouse, de 2'123 fr., ne sont pas contestées en appel. Enfin, si de juin à novembre 2019, l'appelant ne percevra que 3'180 fr. à titre de pension de retraite du 2ème pilier, à compter du 1er décembre 2019, une rente AVS de 2'370 fr. (maximum légal depuis le 1er janvier 2019) s'ajoutera à ce montant, de sorte que les revenus de l'appelant seront, à partir de cette date, de 5'550 fr. par mois. Au vu de ce qui précède, les revenus cumulés des époux représentent 8'725 fr. pour la période du 16 décembre 2018 au 31 mars 2019 (7'035 fr. + 1'690 fr.), 9'232 fr. pour la période du 1er avril au 31 mai 2019 (7'035 fr. + 2'197 fr.), 5'377 fr. pour juin 2019 (3'180 fr. + 2'197 fr.), 6'110 fr. de juillet à novembre 2019 (3'180 fr. + 2'930 fr.), puis 8'480 fr. à partir de décembre 2019 (5'550 fr. + 2'930 fr.). En application de la méthode du minimum vital avec répartition de l'excédent, dans la mesure où les charges cumulées des époux représentent 5'581 fr. (3'458 fr. + 2'123 fr.), la situation se présente comme suit, étant rappelé que l'intimée n'a pas formé appel : - du 16 décembre 2018 au 31 mars 2019, le solde disponible des époux représente 3'144 fr., dont la moitié, soit 1'572 fr., revient à l'épouse, qui aurait ainsi droit à 3'695 fr., dont à déduire son revenu de 1'690 fr.; le résultat représentant un montant de l'ordre de 2'000 fr., la contribution fixée par le Tribunal, soit 1'130 fr. sera confirmée; - pour les mois d'avril et mai 2019, le disponible des époux représente 3'651 fr., dont la moitié, soit 1'825 fr. 50, revient à l'épouse, qui aurait ainsi droit à la somme de 3'948 fr. 50, dont à déduire son revenu de 2'197 fr., ce qui conduit à un montant de l'ordre de 1'750 fr.; ainsi, le montant fixé par le Tribunal, soit 877 fr. sera confirmé pour les mois d'avril et mai 2019; - pour les mois de juin à novembre 2019, le budget de l'appelant présente un déficit de l'ordre de 300 fr.; dans la mesure où son minimum vital doit être préservé, aucune contribution ne sera due à l'intimée pour cette période; - à partir de décembre 2019, le solde disponible des époux représente environ 2'900 fr., dont la moitié, soit 1'450 fr. environ, revient à l'épouse, qui aurait ainsi droit à une somme de l'ordre de 3'573 fr., dont à déduire son revenu de 2'930 fr., ce qui conduit à une contribution de l'ordre de 640 fr.; le montant fixé par le Tribunal, à savoir 511 fr. sera donc confirmé, mais uniquement à partir du 1er décembre 2019. Le chiffre 4 du dispositif du jugement attaqué sera modifié dans le sens qui précède.</w:t>
      </w:r>
    </w:p>
    <w:p>
      <w:r>
        <w:t>- 12/14 -</w:t>
      </w:r>
    </w:p>
    <w:p>
      <w:r>
        <w:t>C/18517/2018</w:t>
      </w:r>
    </w:p>
    <w:p>
      <w:r>
        <w:rPr>
          <w:b/>
        </w:rPr>
        <w:t>E. 4.1</w:t>
      </w:r>
    </w:p>
    <w:p>
      <w:r>
        <w:t>Le montant et la répartition des frais judiciaires de première instance, ne sont, à juste titre, pas contestés en appel. Il en va de même de la renonciation à mettre à la charge de l'une ou l'autre des parties des dépens de première instance. Ainsi, les chiffres 5 et 6 du dispositif du jugement attaqué seront confirmés.</w:t>
      </w:r>
    </w:p>
    <w:p>
      <w:r>
        <w:rPr>
          <w:b/>
        </w:rPr>
        <w:t>E. 4.2</w:t>
      </w:r>
    </w:p>
    <w:p>
      <w:r>
        <w:t>Les frais judiciaires de l'appel principal et de l'appel joint seront arrêtés à 1'600 fr. (art. 31 et 35 RTFMC). Compte tenu de l'issue et de la nature familiale du litige (art. 106 al. 2 et 107 al. 1 let. c CPC), lesdits frais seront mis à la charge de chacune des parties par moitié. La part incombant à l'appelant sera compensée avec l'avance effectuée par celui-ci, laquelle demeure acquise à l'Etat de Genève. La part incombant à l'intimée sera provisoirement à la charge de l'Etat de Genève (art. 122 al. 1 let. b CPC) qui pourra en demander le remboursement aux conditions de l'art. 123 CPC.</w:t>
      </w:r>
    </w:p>
    <w:p>
      <w:r>
        <w:t>Compte tenu de l'issue et de la nature familiale du litige, chaque partie supportera ses propres dépens d'appel. * * * * *</w:t>
      </w:r>
    </w:p>
    <w:p>
      <w:r>
        <w:t>- 13/14 -</w:t>
      </w:r>
    </w:p>
    <w:p>
      <w:r>
        <w:t>C/18517/2018 PAR CES MOTIFS, La Chambre civile : A la forme : Déclare recevable l'appel interjeté le 21 décembre 2018 par A______ contre le chiffre 4 du dispositif du jugement JTPI/1951072018 rendu le 10 décembre 2018 par le Tribunal de première instance dans la cause C/18517/2018-17. Déclare irrecevable l'appel joint formé par B______ le 4 février 2019 contre le même jugement. Au fond : Annule le chiffre 4 du dispositif du jugement attaqué et, statuant à nouveau sur ce point : Condamne A______ à verser à B______, par mois et d'avance, à titre de contribution à son entretien, 1'130 fr. du 16 décembre 2018 au 31 mars 2019, 877 fr. du 1er avril au 31 mai 2019 et 511 fr. à compter du 1er décembre 2019. Confirme le jugement attaqué pour le surplus. Sur les frais : Arrête les frais judiciaires d'appel à 1'600 fr., les met à la charge de chacune des parties par moitié et les compense avec l'avance de 800 fr. effectuée par A______, laquelle demeure acquise à l'Etat de Genève. Laisse la part de B______ provisoirement à la charge de l'Etat de Genève. Dit que chaque partie supporte ses propres dépens d'appel. Siégeant : Monsieur Ivo BUETTI, président; Madame Sylvie DROIN, Madame Nathalie RAPP, juges; Madame Camille LESTEVEN, greffière. Le président : Ivo BUETTI</w:t>
      </w:r>
    </w:p>
    <w:p>
      <w:r>
        <w:t>La greffière : Camille LESTEVEN</w:t>
      </w:r>
    </w:p>
    <w:p>
      <w:r>
        <w:t>Indication des voies de recours :</w:t>
      </w:r>
    </w:p>
    <w:p>
      <w:r>
        <w:t>- 14/14 -</w:t>
      </w:r>
    </w:p>
    <w:p>
      <w:r>
        <w:t>C/18517/2018</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