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ACJC/709/2020 vom 4. Juni 2020</w:t>
      </w:r>
    </w:p>
    <w:p>
      <w:r>
        <w:t>GE Cour de justice, 2020-06-04, FR</w:t>
      </w:r>
    </w:p>
    <w:p>
      <w:r>
        <w:rPr>
          <w:b/>
        </w:rPr>
        <w:t xml:space="preserve">Quelle: </w:t>
      </w:r>
      <w:r>
        <w:t>https://mcp.opencaselaw.ch/entscheid/ge_gerichte_ACJC_709_2020</w:t>
      </w:r>
    </w:p>
    <w:p>
      <w:r>
        <w:t>FR: GE_GERICHTE ACJC/709/2020 du 4 juin 2020</w:t>
      </w:r>
    </w:p>
    <w:p>
      <w:r>
        <w:t>IT: GE_GERICHTE ACJC/709/2020 del 4 giugno 2020</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des questions d'ordre patrimonial, soit l'attribution du domicile conjugal et le montant de la contribution à l'entretien de l'épouse. La valeur litigieuse, calculée conformément à l'art. 92 al. 2 CPC, étant supérieure à 10'000 fr., la voie de l'appel est ouverte. Interjeté dans le délai de dix jours (art. 271 et 314 al. 1 CPC) et selon la forme prescrite par la loi (art. 130, 131, 252 et 311 CPC), l'appel est donc recevable.</w:t>
      </w:r>
    </w:p>
    <w:p>
      <w:r>
        <w:rPr>
          <w:b/>
        </w:rPr>
        <w:t>E. 1.2</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w:t>
      </w:r>
    </w:p>
    <w:p>
      <w:r>
        <w:t>- 7/14 -</w:t>
      </w:r>
    </w:p>
    <w:p>
      <w:r>
        <w:t>C/18540/2019 consid. 2b/bb = JdT 2002 I 352; arrêt du Tribunal fédéral 5A_392/2014 du 20 août 2014 consid. 1.5).</w:t>
      </w:r>
    </w:p>
    <w:p>
      <w:r>
        <w:rPr>
          <w:b/>
        </w:rPr>
        <w:t>E. 1.3</w:t>
      </w:r>
    </w:p>
    <w:p>
      <w:r>
        <w:t>La maxime de disposition est applicable s'agissant de la contribution d'entretien due à l'épouse (ATF 129 III 417 précité; arrêts du Tribunal fédéral 5A_757/2013 du 14 juillet 2014 consid. 2.1 et 5A_574/2013 du 9 octobre 2013) et de l'attribution du domicile conjugal, en l'absence d'enfant mineur.</w:t>
      </w:r>
    </w:p>
    <w:p>
      <w:r>
        <w:rPr>
          <w:b/>
        </w:rPr>
        <w:t>E. 1.4</w:t>
      </w:r>
    </w:p>
    <w:p>
      <w:r>
        <w:t>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2.1</w:t>
      </w:r>
    </w:p>
    <w:p>
      <w:r>
        <w:t>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pièce 3 produite par l'appelant correspond à des écritures qu'il avait adressées au Tribunal et qui avaient été écartées par celui-ci au motif que le premier juge avait opté pour une procédure orale et non écrite. L'appelant n'ayant formulé aucun grief sur leur non-prise en considération en première instance, il ne saurait produire lesdites écritures en appel, étant précisé qu'elles ne contiennent aucun élément déterminant pour l'issue du litige. Pour le surplus, seules sont recevables les pièces nouvelles relatives à des faits postérieurs à la date à laquelle la cause a été gardée à juger par le Tribunal, soit en l'espèce postérieurs au 20 septembre 2019, étant relevé que l'appelant a produit devant la Cour des pièces qui figuraient déjà dans son bordereau de pièces de première instance, sans prendre la peine de les distinguer.</w:t>
      </w:r>
    </w:p>
    <w:p>
      <w:r>
        <w:rPr>
          <w:b/>
        </w:rPr>
        <w:t>E. 3.1</w:t>
      </w:r>
    </w:p>
    <w:p>
      <w:r>
        <w:t>Selon l'art. 176 al. 1 ch. 2 CC, à la requête de l'un des conjoints et si la suspension de la vie commune est fondée, le juge prend les mesures en ce qui concerne le logement et le mobilier de ménage.</w:t>
      </w:r>
    </w:p>
    <w:p>
      <w:r>
        <w:t>- 8/14 -</w:t>
      </w:r>
    </w:p>
    <w:p>
      <w:r>
        <w:t>C/18540/2019</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w:t>
      </w:r>
    </w:p>
    <w:p>
      <w:r>
        <w:t>Si ce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du 27 mars 2014 consid. 4.1; 5A_291/2013 précité consid. 5.3).</w:t>
      </w:r>
    </w:p>
    <w:p>
      <w:r>
        <w:rPr>
          <w:b/>
        </w:rPr>
        <w:t>E. 3.2</w:t>
      </w:r>
    </w:p>
    <w:p>
      <w:r>
        <w:t>Dans le cas d'espèce, l'appelant reproche au premier juge de ne pas avoir tenu compte, pour l'attribution de l'ancien domicile conjugal, du fait qu'il vit avec sa fille, enceinte et sans ressources.</w:t>
      </w:r>
    </w:p>
    <w:p>
      <w:r>
        <w:t>L'appelant perd toutefois de vue le fait que sa fille a atteint la majorité le 29 octobre 2019, soit le jour du prononcé du jugement attaqué, de sorte que la question de l'attribution de sa garde, élément qui pouvait avoir une influence sur l'attribution de l'appartement familial, ne se pose plus. Au demeurant, aucun élément objectif n'empêche C______ de demeurer dans le logement en cause en cas d'attribution de sa jouissance à l'intimée.</w:t>
      </w:r>
    </w:p>
    <w:p>
      <w:r>
        <w:t>Il résulte de la procédure que l'intimée est actuellement sans emploi et par conséquent sans ressources propres, de sorte qu'il lui sera extrêmement difficile de se voir attribuer un logement par un bailleur. A l'inverse, l'appelant a un emploi stable et bien rémunéré, de sorte qu'il lui sera plus aisé de trouver un autre bien à louer.</w:t>
      </w:r>
    </w:p>
    <w:p>
      <w:r>
        <w:t>- 9/14 -</w:t>
      </w:r>
    </w:p>
    <w:p>
      <w:r>
        <w:t>C/18540/2019</w:t>
      </w:r>
    </w:p>
    <w:p>
      <w:r>
        <w:t>Au vu de ce qui précède, c'est à juste titre que la jouissance exclusive de l'appartement conjugal a été attribuée à l'intimée. Point n'est besoin, à ce stade, de se prononcer sur la réalité des violences conjugales alléguées par l'intimée et contestées par l'appelant.</w:t>
      </w:r>
    </w:p>
    <w:p>
      <w:r>
        <w:t>Les chiffres 6 et 7 du dispositif du jugement attaqué seront par conséquent confirmés.</w:t>
      </w:r>
    </w:p>
    <w:p>
      <w:r>
        <w:rPr>
          <w:b/>
        </w:rPr>
        <w:t>E. 4</w:t>
      </w:r>
    </w:p>
    <w:p>
      <w:r>
        <w:t>4.1.1 A la requête des conjoints et si la suspension de la vie commune est fondée, le juge des mesures protectrices fixe la contribution pécuniaire à verser par l’une des parties à l’autre (art. 176 al. 1 ch. 1 CC).</w:t>
      </w:r>
    </w:p>
    <w:p>
      <w:r>
        <w:t>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w:t>
      </w:r>
    </w:p>
    <w:p>
      <w:r>
        <w:t>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 du Tribunal fédéral 5A_661/2011 du 10 février 2012 consid. 4.2.1, 5A_732/2007 du 4 avril 2008 consid. 2.2).</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 29 janvier 2014 consid. 4.1). Elle consiste à évaluer les ressources de chacun des époux, puis à calculer leurs charges en se fondant sur le minimum vital de base du</w:t>
      </w:r>
    </w:p>
    <w:p>
      <w:r>
        <w:t>- 10/14 -</w:t>
      </w:r>
    </w:p>
    <w:p>
      <w:r>
        <w:t>C/18540/2019 droit des poursuites (art. 93 LP), élargi des dépenses incompressibles et à répartir le montant disponible restant entre les époux (ATF 126 III 8 consid. 3c; arrêt du Tribunal fédéral 5A_787/2016 du 12 janvier 2017 consid. 4.2.1). Lorsque la situation financière des parties le permet, il est également justifié d'ajouter au minimum vital du droit des poursuites certains suppléments, non strictement nécessaires, tels que la charge fiscale courante (ATF 140 III 337 consid. 4.2.3 et 4.4; 127 III 68 consid. 2b, 289 consid. 2a/bb; arrêts du Tribunal fédéral 5A_565/2016 du 16 février 2017 consid. 4.1.1; 5A_329/2016 du</w:t>
      </w:r>
    </w:p>
    <w:p>
      <w:r>
        <w:rPr>
          <w:b/>
        </w:rPr>
        <w:t>E. 6</w:t>
      </w:r>
    </w:p>
    <w:p>
      <w:r>
        <w:t>décembre 2016 consid. 4.2.1), à l'exclusion des arriérés d'impôts (arrêt du Tribunal fédéral 5A_508/2011 consid. 4.2.5; BASTONS BULLETTI, L'entretien après divorce : méthodes de calcul, montant, durée et limites, in SJ 2007 II 77, p. 90). Seules les charges effectives, dont le débirentier ou le crédirentier s'acquitte réellement doivent être prises en compte (ATF 140 III 337 consid. 4.2.3, 121 III 20 consid. 3a; arrêts du Tribunal fédéral 5A_426/2016 du 2 novembre 2016 consid. 4.2; 5A_65/2013 du 4 septembre 2013 consid. 3.2.1). 4.1.2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arrêts du Tribunal fédéral 5A_1008/2015 du 21 avril 2016 consid. 3.3.2). 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w:t>
      </w:r>
    </w:p>
    <w:p>
      <w:r>
        <w:t>- 11/14 -</w:t>
      </w:r>
    </w:p>
    <w:p>
      <w:r>
        <w:t>C/18540/2019</w:t>
      </w:r>
    </w:p>
    <w:p>
      <w:r>
        <w:t>4.1.4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4.1.5 L'obligation d'entretien du conjoint l'emporte sur celle de l'enfant majeur (arrêts du Tribunal fédéral 5A_36/2016 du 29 mars 2016 consid. 4.1; 5A_823/2014 du 3 février 2015 consid. 5.4; ACJC/1472/2019 du 4 octobre 2019 consid. 6.1.4), de sorte que les frais d'entretien de l'enfant majeur découlant de l'art. 277 al. 2 CC ne doivent pas être inclus sans autre considération dans le minimum vital élargi du débirentier. Cette jurisprudence vaut également en matière de mesures provisionnelles (ATF 132 III 209 consid. 2.3; arrêt du Tribunal fédéral 5A_36/2016 du 29 mars 2016 consid. 4.1; ACJC/1472/2019 du 4 octobre 2019 consid. 6.1.4). 4.1.6 L'aide sociale est subsidiaire par rapport aux obligations d'entretien du droit de la famille (ATF 119 Ia 134 consid. 4; 108 Ia 9/10). Les époux doivent en principe subvenir seuls à leurs besoins vitaux; l'aide sociale, par nature subsidiaire, n'intervient qu'en cas de carence et est supprimée lorsque les conjoints peuvent assumer seuls leurs dépenses incompressibles (arrêt du Tribunal fédéral 5P.327/2005 du 27 février 2006 consid. 4.4.3). 4.2.1 L'appelant a contesté ses revenus et ses charges retenus par le Tribunal.</w:t>
      </w:r>
    </w:p>
    <w:p>
      <w:r>
        <w:t>En ce qui concerne ses revenus, le Tribunal a retenu un montant erroné et il se justifie de le ramener à la somme de 7'255 fr. par mois.</w:t>
      </w:r>
    </w:p>
    <w:p>
      <w:r>
        <w:t>S'agissant des charges effectives de l'appelant, c'est à juste titre que le Tribunal n'a pas retenu les arriérés d'impôts, leur prise en considération devant être écartée conformément à la jurisprudence citée sous 4.1.1 ci-dessus. Il n'a par ailleurs pas été suffisamment établi que la somme de 140 fr. était envoyé mensuellement aux Philippines pour qu'il puisse en être tenu compte dans les charges fixes de l'appelant, de sorte que le raisonnement du Tribunal sur ce point doit être confirmé. Il en va de même de ses frais médicaux, non suffisamment établis. Enfin, l'appelant n'explique pas pour quel motif un montant de 70 fr. aurait dû être ajouté à ses charges pour ses frais de transport, alors qu'il a exposé, en première instance, bénéficier d'un abonnement général, pour lequel un montant mensuel de 27 fr. a été retenu. Les charges de l'appelant, en 4'265 fr. par mois, telles que retenues par le Tribunal, doivent par conséquent être confirmées. 4.2.2 L'appelant fait grief au Tribunal de n'avoir pas retenu d'une manière suffisante les charges qu'il assume pour sa fille C______. Il sera toutefois rappelé que, conformément à la jurisprudence citée sous 4.1.5 ci-dessus, l'obligation</w:t>
      </w:r>
    </w:p>
    <w:p>
      <w:r>
        <w:t>- 12/14 -</w:t>
      </w:r>
    </w:p>
    <w:p>
      <w:r>
        <w:t>C/18540/2019 d'entretien du conjoint l'emporte sur celle de l'enfant majeur (arrêts du Tribunal fédéral 5A_36/2016 du 29 mars 2016 consid. 4.1; 5A_823/2014 du 3 février 2015 consid. 5.4; ACJC/1472/2019 du 4 octobre 2019 consid. 6.1.4). L'appelant ne saurait par conséquent exiger que les frais de C______ soient inclus dans son propre minimum vital, ce d'autant plus que le Tribunal les avait comptabilisés dans la mesure où elle poursuivait des études, ce qui n'est désormais plus le cas, puisque C______ a mis un terme à sa formation et donnera prochainement naissance à un enfant. Il appartiendra par conséquent au père de celui-ci d'en assumer les frais et de verser, cas échéant, une contribution de prise en charge qui tienne compte du minimum vital de C______. Rien ne justifie par conséquent de retenir, dans les charges de l'appelant, celles relatives à la fille majeure du couple. 4.2.3 L'appelant reproche au Tribunal de n'avoir retenu aucun revenu hypothétique pour l'intimée. Or, selon ce qui ressort de la procédure, si l'intimée a certes travaillé en qualité d'employée de maison ou de baby-sitter même après la célébration du mariage, il est établi qu'au moment de la séparation des parties, intervenue durant l'été 2019, elle n'exerçait plus aucune activité lucrative et avait, apparemment, épuisé son droit au chômage, puisqu'elle ne percevait plus aucune allocation à ce titre; elle était par conséquent entièrement à la charge de l'appelant, lequel n'a au demeurant fourni aucune indication utile sur le salaire que percevait son épouse lorsqu'elle travaillait. L'intimée est par ailleurs dépourvue de toute formation, ayant arrêté l'école, dans son pays d'origine, à l'âge de 12 ans; elle parle en outre mal le français, à tel point qu'elle était assistée d'un interprète devant le Tribunal. Elle a par ailleurs allégué des problèmes de santé, sans que ceux-ci paraissent avoir une gravité telle qu'ils l'empêcheraient, une fois résolus, de reprendre une activité. Il découle de ce qui précède que s'il peut certes être attendu de l'intimée, compte tenu de son âge, qu'elle fournisse les efforts nécessaires pour retrouver un emploi qui lui permette d'assumer ses propres charges, il y a lieu d'admettre que pour ce faire, il lui sera probablement nécessaire d'apprendre le français, voire d'initier une formation. Autrement dit, un certain temps devra s'écouler avant que l'on puisse concrètement exiger de l'intimée qu'elle subvienne à son entretien et c'est dès lors à juste titre que le Tribunal a renoncé à lui imputer, en l'état et sur mesures protectrices de l'union conjugale, par essence provisoires, un revenu hypothétique. 4.2.4 Le solde disponible de l'appelant s'élevant à 2'990 fr. par mois (7'255 fr. – 4'265 fr.), le montant de 2'500 fr. mis à sa charge à titre de contribution à l'entretien de son épouse ne porte pas atteinte à son minimum vital. 4.2.5 les parties se sont séparées durant le mois d'août 2019 et depuis lors l'intimée est assistée par l'Hospice général. Les prestations sociales étant subsidiaires par rapport au devoir d'entretien entre époux, c'est à juste titre que le</w:t>
      </w:r>
    </w:p>
    <w:p>
      <w:r>
        <w:t>- 13/14 -</w:t>
      </w:r>
    </w:p>
    <w:p>
      <w:r>
        <w:t>C/18540/2019 Tribunal a fixé le dies a quo de l'obligation d'entretien de l'appelant à l'égard de son épouse au 1er septembre 2019. Il sera toutefois tenu compte des montants dont l'appelant s'est acquitté depuis lors et jusqu'à fin octobre 2019 en faveur de son épouse, soit ses primes mensuelles d'assurance maladie en 306 fr. (612 fr. au total pour les deux mois), auxquelles s'ajoutent les montants retenus sous lettre D.d ci-dessus pour un total de 1'214 fr. Les contributions mensuelles en 2'500 fr. seront par conséquent dues dès le 1er septembre 2019, sous déduction de la somme de 1'826 fr. pour la période allant du 1er septembre au 31 octobre 2019, ainsi que de tout montant versé depuis lors à ce titre. Par souci de clarté, le chiffre 8 du dispositif du jugement attaqué sera annulé et reformulé conformément à ce qui précède. 5. 5.1 Les frais sont mis à la charge de la partie qui succombe (art. 106 al. 1 CPC). Le tribunal peut s'écarter des règles générales et répartir les frais selon sa libre appréciation notamment lorsque le litige relève du droit de la famille (art. 107 al. 1 let. c CPC).</w:t>
      </w:r>
    </w:p>
    <w:p>
      <w:r>
        <w:t>5.2.1 Les frais de première instance et leur répartition n'ont fait l'objet d'aucune critique. Ils seront par conséquent confirmés.</w:t>
      </w:r>
    </w:p>
    <w:p>
      <w:r>
        <w:t>5.2.2 Les frais de la procédure d'appel seront arrêtés à 1'000 fr., compensés avec l'avance de frais versée par l'appelant, qui reste acquise à l'Etat et mis à la charge de ce dernier, qui succombe presque intégralement.</w:t>
      </w:r>
    </w:p>
    <w:p>
      <w:r>
        <w:t>Vu la nature familiale du litige, il ne sera pas alloué de dépens. * * * * *</w:t>
      </w:r>
    </w:p>
    <w:p>
      <w:r>
        <w:t>- 14/14 -</w:t>
      </w:r>
    </w:p>
    <w:p>
      <w:r>
        <w:t>C/18540/2019 PAR CES MOTIFS, La Chambre civile : A la forme : Déclare recevable l'appel interjeté par A______ contre le jugement JTPI/15164/2019 rendu le 29 octobre 2019 par le Tribunal de première instance dans la cause C/18540/2019. Au fond : Annule le chiffre 8 du dispositif dudit jugement et statuant à nouveau sur ce point : Condamne A______ à payer à B______, par mois et d'avance, à titre de contribution à son entretien, la somme de 2'500 fr. à compter du 1er septembre 2019, sous déduction de la somme de 1'826 fr. pour la période allant du 1er septembre au 31 octobre 2019, ainsi que de tout montant versé depuis lors à ce titre. Confirme le jugement attaqué pour le surplus. Déboute les parties de toute autre conclusion. Sur les frais : Arrête les frais judiciaires d'appel à 1'000 fr., les met à la charge de A______ et les compense avec l'avance versée, qui reste acquise à l'Etat de Genève. Dit qu'il n'est pas alloué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