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ACJC/707/2016 vom 24. Mai 2016</w:t>
      </w:r>
    </w:p>
    <w:p>
      <w:r>
        <w:t>GE Cour de justice, 2016-05-24, FR</w:t>
      </w:r>
    </w:p>
    <w:p>
      <w:r>
        <w:rPr>
          <w:b/>
        </w:rPr>
        <w:t xml:space="preserve">Quelle: </w:t>
      </w:r>
      <w:r>
        <w:t>https://mcp.opencaselaw.ch/entscheid/ge_gerichte_ACJC_707_2016</w:t>
      </w:r>
    </w:p>
    <w:p>
      <w:r>
        <w:t>FR: GE_GERICHTE ACJC/707/2016 du 24 mai 2016</w:t>
      </w:r>
    </w:p>
    <w:p>
      <w:r>
        <w:t>IT: GE_GERICHTE ACJC/707/2016 del 24 maggio 2016</w:t>
      </w:r>
    </w:p>
    <w:p>
      <w:pPr>
        <w:pStyle w:val="Heading2"/>
      </w:pPr>
      <w:r>
        <w:t>Erwägungen</w:t>
      </w:r>
    </w:p>
    <w:p>
      <w:r>
        <w:rPr>
          <w:b/>
        </w:rPr>
        <w:t>E. 1.1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En l'espèce, l'appel qui porte sur la contribution de l'entretien dû à l'enfant mineur, est de nature patrimoniale. Compte tenu de la quotité des contributions contestées en première instance, la valeur litigieuse, capitalisée selon l'art. 92 al. 2 CPC, est supérieure à 10'000 fr. La voie de l'appel est dès lors ouverte.</w:t>
      </w:r>
    </w:p>
    <w:p>
      <w:r>
        <w:rPr>
          <w:b/>
        </w:rPr>
        <w:t>E. 1.2</w:t>
      </w:r>
    </w:p>
    <w:p>
      <w:r>
        <w:t>La procédure sommaire est applicable aux mesures provisionnelles rendues dans le cadre des procédures indépendantes relatives aux enfants (art. 248 let. d CPC; JEANDIN in Code de procédure civile commenté, n. 3 ad. art. 303 CPC). L'appel, formé par écrit et motivé (art. 311 al. 1 CPC), a été interjeté dans le délai utile de dix jours (art. 314 CPC). Il est ainsi recevable.</w:t>
      </w:r>
    </w:p>
    <w:p>
      <w:r>
        <w:rPr>
          <w:b/>
        </w:rPr>
        <w:t>E. 1.3</w:t>
      </w:r>
    </w:p>
    <w:p>
      <w:r>
        <w:t>La Cour revoit la cause avec un plein pouvoir d'examen (art. 310 CPC) et applique les maximes inquisitoire illimitée et d'office dans la mesure où le litige concerne un enfant mineur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la Cour de céans admet cependant tous les nova (ACJC/364/2015 du 27 mars 2015 consid. 3.1 et ACJC/976/2014 du 15 août 2014 consid. 1.3).</w:t>
      </w:r>
    </w:p>
    <w:p>
      <w:r>
        <w:t>- 5/11 -</w:t>
      </w:r>
    </w:p>
    <w:p>
      <w:r>
        <w:t>C/15017/2015</w:t>
      </w:r>
    </w:p>
    <w:p>
      <w:r>
        <w:t>Ainsi, les allégations nouvelles de l'intimé sont recevables.</w:t>
      </w:r>
    </w:p>
    <w:p>
      <w:r>
        <w:rPr>
          <w:b/>
        </w:rPr>
        <w:t>E. 2.2</w:t>
      </w:r>
    </w:p>
    <w:p>
      <w:r>
        <w:t>Lorsque la cause est soumise à la maxime d'office, le dépôt de conclusions nouvelles en appel est admissible jusqu'aux délibérations, les restrictions posées par l'art. 317 al. 2 CPC n'entrant pas en considération dans ce cadre (ACJC/3/2016 du 5 janvier 2016 consid. 3.1; ACJC/1252/2015 du 16 octobre 2015 consid. 2.4; JEANDIN, op. cit., n. 18 ad. art. 296 CPC).</w:t>
      </w:r>
    </w:p>
    <w:p>
      <w:r>
        <w:t>Dès lors, la conclusion nouvelle de l'appelant, qui a augmenté le montant de la contribution d'entretien sollicitée, est recevable.</w:t>
      </w:r>
    </w:p>
    <w:p>
      <w:r>
        <w:rPr>
          <w:b/>
        </w:rPr>
        <w:t>E. 3</w:t>
      </w:r>
    </w:p>
    <w:p>
      <w:r>
        <w:t>L'appelant reproche au Tribunal de ne pas avoir appliqué les Tabelles zurichoises et de ne pas avoir suffisamment tenu compte de la situation financière favorable de l'intimé.</w:t>
      </w:r>
    </w:p>
    <w:p>
      <w:r>
        <w:rPr>
          <w:b/>
        </w:rPr>
        <w:t>E. 3.1</w:t>
      </w:r>
    </w:p>
    <w:p>
      <w:r>
        <w:t>Selon l'art. 303 al. 1 CPC, dans le cadre d'une demande d'aliments, si la filiation est établie, le défendeur peut être tenu, sur mesures provisionnelles, de consigner ou d'avancer des contributions d'entretien équitables. La requête d'avance de contribution se fonde sur l'existence d'un devoir d'entretien du parent débirentier. L'avance doit être équitable eu égard aux ressources et aux charges de ce dernier et aux besoins de l'enfant. Dans la mesure où la filiation est établie, l'existence d'un devoir d'entretien à l'égard de l'enfant ne laisse guère de place au doute, raison pour laquelle l'art. 303 al. 1 CPC ne soumet pas l'octroi de mesures provisionnelles à des conditions particulières mais laisse au contraire un grand pouvoir d'appréciation au tribunal (JEANDIN, op. cit., n. 6 ad art. 303 CPC). Le législateur a intégré à l'art. 303 CPC le système précédemment connu des art. 281 à 283 aCC (MEIER/STETTLER, Droit de la filiation, 5e éd., 2014, § 1136). Selon l'art. 281 al. 2 aCC, une fois l'action introduite, le juge prend, à la requête du demandeur, les mesures provisoires nécessaires pour la durée du procès. Lorsque la filiation est établie, le défendeur peut être tenu de consigner ou d'avancer des contributions équitables. Le juge jouit ainsi d'un pouvoir d'appréciation (art. 4 CC). La seconde faculté n'est autre chose que la condamnation au paiement de la contribution d'entretien prévue par le droit, dans la mesure équitable, soit la condamnation à l'exécution anticipée de ce qui est demandé au fond. Le choix entre les deux mesures est fait avant tout en fonction du degré de probabilité d'un succès de l'action. Rechercher cette vraisemblance oblige donc le juge à examiner les conditions prévues par le droit de fond. S'agissant de mesures provisoires à prendre au début du procès, ou du moins sans que la question ait été pleinement instruite au fond, l'apparence du droit suffit (ATF 117 II 127 consid. 3c).</w:t>
      </w:r>
    </w:p>
    <w:p>
      <w:r>
        <w:t>- 6/11 -</w:t>
      </w:r>
    </w:p>
    <w:p>
      <w:r>
        <w:t>C/15017/2015 Au vu de la nature des mesures provisionnelles, la partie requérante doit rendre vraisemblable qu'elle est menacée d'une atteinte à ses intérêts juridiques difficilement réparables. Une telle atteinte est généralement admise en relation avec une contribution d'entretien. Les conclusions de la partie requérante doivent au surplus apparaître bien fondées sous l'angle de la vraisemblance, aussi bien sur le principe que dans leur quotité (STECK, Basler Kommentar ZPO, 2e éd., 2013, n. 17 et 18 ad art. 303 CPC, SCHWEIGHAUSER, Kommentar zur ZPO, 2e éd. 2013, n. 15 et 16 ad art. 303 CPC).</w:t>
      </w:r>
    </w:p>
    <w:p>
      <w:r>
        <w:rPr>
          <w:b/>
        </w:rPr>
        <w:t>E. 3.2</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 décembre 2011 consid. 7.1.3). Pour apprécier la capacité contributive des parents et les besoins concrets de l'enfant, la jurisprudence admet, comme l'une des méthodes possibles, celle dite du «minimum vital» (ATF 127 III 68 = JdT 2001 I 562 consid. 2b; 126 III 353 = JdT 2002 I 162 consid. 1a/aa). La part d'un enfant au logement peut être fixée à 20% du loyer et à 30% pour deux enfants (BASTONS/BULLETTI, L'entretien après divorce: méthodes de calculs, montant, duré et limites, in SJ 2007 II 77 p. 85 et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w:t>
      </w:r>
    </w:p>
    <w:p>
      <w:r>
        <w:t>- 7/11 -</w:t>
      </w:r>
    </w:p>
    <w:p>
      <w:r>
        <w:t>C/15017/2015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Les pensions en faveur des enfants sont destinées uniquement à couvrir les besoins de ces derniers et ne sauraient être utilisées par le parent attributaire pour couvrir son propre entretien ou améliorer son propre train de vie (ATF 115 Ia 325 consid. 3; arrêts du Tribunal fédéral 5C.227/2003 du 20 janvier 2004 consid. 3.2.2, 5C.251/1999 du 14 mars 2000, consid. 4b).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arrêt du Tribunal fédéral 5A_959/2013 du 1er octobre 2014 consid. 9.2.2). Il existe cependant différentes méthodes propres à évaluer les besoins de l'enfant en fonction de son âge. Les besoins d'entretien moyens retenus dans les «Recommandations pour la fixation des contributions d'entretien des enfants» édictées par l'Office de la jeunesse du canton de Zurich (Tabelles zurichoises), qui permettent d'évaluer le coût total de l'entretien d'un enfant en fonction de son âge, peuvent servir de point de départ pour la détermination des besoins de l'enfant dans un cas concret. Il y a toutefois lieu de les affiner en tenant compte des besoins concrets particuliers de l'enfant, ainsi que du niveau de vie et de la capacité contributive des parents (ATF 116 II 110 consid. 3a; arrêt du Tribunal fédéral 5A_507/2007 du 24 avril 2008 consid. 5.1). Selon ces recommandations (année 2016), prévues pour des revenus de l'ordre de 7'000 à 7'500 fr. (arrêt du Tribunal fédéral 5C_49/2006 du 24 août 2006 consid. 2.2), les besoins d'entretien d'un enfant unique âgé d'un à six ans s'élèvent à 1'999 fr., dont 716 fr. pour les soins et l'éducation et 360 fr. pour le logement. La méthode abstraite dite "des pourcentages" (ci-après : la pratique vaudoise), qui consiste, en présence de revenus moyens, à calculer la contribution d'entretien sur la base d'un pourcentage de ce revenu - 15 à 17% pour un enfant, 25 à 27% pour</w:t>
      </w:r>
    </w:p>
    <w:p>
      <w:r>
        <w:t>- 8/11 -</w:t>
      </w:r>
    </w:p>
    <w:p>
      <w:r>
        <w:t>C/15017/2015 deux enfants, 30 à 35% pour trois enfants - n'enfreint pas le droit fédéral, pour autant que la pension reste en rapport avec le niveau de vie et la capacité contributive du débiteur (ATF 116 II 110 consid. 3a p. 112; 5A_229/2013 du 25 septembre 2013 consid. 5.2).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rPr>
          <w:b/>
        </w:rPr>
        <w:t>E. 3.3</w:t>
      </w:r>
    </w:p>
    <w:p>
      <w:r>
        <w:t>En l'espèce, les besoins concrets de l'appelant, âgé d'un an, comprennent sa part de loyer de 243 fr. (20% de 1'124 fr.), le solde non couvert par le subside cantonal de 100 fr. de ses primes d'assurance maladie (80 fr. 80, soit 180 fr. 80 - 100 fr.) et le montant de base OP (400 fr.), soit 723 fr. au total, dont à déduire 300 fr. d'allocations familiales. Les besoins concrets de l'enfant sont donc de 423 fr.</w:t>
      </w:r>
    </w:p>
    <w:p>
      <w:r>
        <w:t>En application des Tabelles zurichoises, affinées en tenant compte de la participation au loyer de la mère (243 fr.) et sous déduction des frais de soins et d'éducation, assumés par la mère en nature, ainsi que des allocations familiales, les besoins d'entretien de l'appelant peuvent être estimés à 866 fr. (1'999 fr. - (716 fr. + 360 fr.) + 243 fr.). Enfin, en application de la pratique vaudoise, la contribution pourrait être fixée à 1'600 fr. (15% de 10'662 fr. 85).</w:t>
      </w:r>
    </w:p>
    <w:p>
      <w:r>
        <w:t>Dans la mesure où l'enfant vit actuellement auprès de sa mère, qui bénéficie des prestations de l'Hospice général, il se justifie de faire supporter au père l'intégralité des charges de l'enfant. Au vu du bas âge et des besoins concrets de celui-ci, ainsi que du solde disponible du père, qui est important même en retenant dans ses charges la totalité des frais qu'il allègue (soit 4'562 fr. comprenant 2'260 fr. de loyer, 1'000 fr. d'impôts, 385 fr. d'assurance maladie, 25 fr. d'assurance ménage, 42 fr. de frais TPG et 850 fr. de base mensuelle OP, ce qui lui laisse un disponible mensuel de 6'100 fr.), la contribution d'entretien sera fixée, compte tenu du large pouvoir d'appréciation du juge, à 900 fr. par mois, allocations familiales non comprises.</w:t>
      </w:r>
    </w:p>
    <w:p>
      <w:r>
        <w:t>Le dies a quo retenu par le Tribunal n'est pas contesté.</w:t>
      </w:r>
    </w:p>
    <w:p>
      <w:r>
        <w:t>Par ailleurs, sur mesures provisionnelles il n'y a pas lieu de prévoir un échelonnement de la contribution par paliers, selon l'âge de l'enfant. L'ordonnance sera ainsi annulée et la contribution d'entretien fixée à 900 fr. par mois à compter du 1er février 2015.</w:t>
      </w:r>
    </w:p>
    <w:p>
      <w:r>
        <w:t>- 9/11 -</w:t>
      </w:r>
    </w:p>
    <w:p>
      <w:r>
        <w:t>C/15017/2015</w:t>
      </w:r>
    </w:p>
    <w:p>
      <w:r>
        <w:rPr>
          <w:b/>
        </w:rPr>
        <w:t>E. 4.1</w:t>
      </w:r>
    </w:p>
    <w:p>
      <w:r>
        <w:t>Lorsque la Cour statue à nouveau, elle se prononce sur les frais fixés par le Tribunal de première instance (art. 318 al. 3 CPC). Le premier juge a mis les frais judiciaires, arrêtés à 300 fr., à la charge de chacune des parties par moitié et n'a pas alloué de dépens. Compte tenu de l'issue du litige, une modification de la décision déférée sur ces points ne s'impose pas.</w:t>
      </w:r>
    </w:p>
    <w:p>
      <w:r>
        <w:rPr>
          <w:b/>
        </w:rPr>
        <w:t>E. 4.2</w:t>
      </w:r>
    </w:p>
    <w:p>
      <w:r>
        <w:t>Les frais judiciaires de la procédure d'appel seront arrêtés à 1'000 fr. (art. 33 et 37 RTFMC). Pour des motifs d'équité liés à la nature du litige et vu l'issue de la procédure, ces frais seront répartis à parts égales entre les parties (art. 95, 104 al. 1, 105, 106 al. 2 et 107 al. 1 let. c CPC). L'intimé sera ainsi condamné à verser 500 fr. aux Services financiers du Pouvoir judiciaire. La part de l'appelant, au bénéfice de l'assistance juridique, sera provisoirement laissée à la charge de l'Etat (art. 122 et 123 CPC). Pour les mêmes motifs, chaque partie supportera ses propres dépens d'appel. * * * * * *</w:t>
      </w:r>
    </w:p>
    <w:p>
      <w:r>
        <w:t>- 10/11 -</w:t>
      </w:r>
    </w:p>
    <w:p>
      <w:r>
        <w:t>C/15017/2015 PAR CES MOTIFS, La Chambre civile : A la forme : Déclare recevable l'appel interjeté par A.______ contre l'ordonnance OTPI/89/2016 rendue le 22 février 2016 par le Tribunal de première instance dans la cause C/15017/2015-1. Au fond : Annule les chiffres 1 et 2 du dispositif de l'ordonnance attaquée, et, statuant à nouveau sur ces points : Condamne C.______ à verser en mains de D.______, à titre de contribution à l'entretien de leur fils A.______, né le ______ 2015, par mois et d'avance, allocations familiales non comprises, la somme de 900 fr. à compter du 1er février 2015. Confirme l'ordonnance attaquée pour le surplus. Déboute les parties de toutes autres conclusions. Sur les frais : Arrête les frais judiciaires d'appel à 1'000 fr. et les met à la charge de chacune des parties par moitié. Condamne C.______ à verser 500 fr. aux Services financiers du Pouvoir judiciaire. Dit que la part d'A.______ est provisoirement supportée par l'Etat de Genève. Dit que chaque partie supporte ses propres dépens d'appel. Siégeant : Madame Sylvie DROIN, présidente; Monsieur Ivo BUETTI, Madame Ursula ZEHETBAUER GHAVAMI, juges; Madame Marie NIERMARÉCHAL, greffière.</w:t>
      </w:r>
    </w:p>
    <w:p>
      <w:r>
        <w:t>La présidente : Sylvie DROIN</w:t>
      </w:r>
    </w:p>
    <w:p>
      <w:r>
        <w:t>La greffière : Marie NIERMARÉCHAL</w:t>
      </w:r>
    </w:p>
    <w:p>
      <w:r>
        <w:t>- 11/11 -</w:t>
      </w:r>
    </w:p>
    <w:p>
      <w:r>
        <w:t>C/15017/2015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