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ACJC/706/2023 vom 5. Juni 2023</w:t>
      </w:r>
    </w:p>
    <w:p>
      <w:r>
        <w:t>GE Cour de justice, 2023-06-05, FR</w:t>
      </w:r>
    </w:p>
    <w:p>
      <w:r>
        <w:rPr>
          <w:b/>
        </w:rPr>
        <w:t xml:space="preserve">Quelle: </w:t>
      </w:r>
      <w:r>
        <w:t>https://mcp.opencaselaw.ch/entscheid/ge_gerichte_ACJC_706_2023</w:t>
      </w:r>
    </w:p>
    <w:p>
      <w:r>
        <w:t>FR: GE_GERICHTE ACJC/706/2023 du 5 juin 2023</w:t>
      </w:r>
    </w:p>
    <w:p>
      <w:r>
        <w:t>IT: GE_GERICHTE ACJC/706/2023 del 5 giugno 2023</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(art. 142, 248 let. d et 314 al. 1 CPC), à l'encontre d'une décision sur mesures provisionnelles (art. 308 al. 1 let. b CPC) qui statue sur une affaire non pécuniaire dans son ensemble. Sont également recevables la réponse (art. 314 al. 1 CPC) ainsi que les écritures subséquentes et spontanées des parties, déposées conformément à leur droit de répliquer (ATF 142 III 48 consid. 4.1.1).</w:t>
      </w:r>
    </w:p>
    <w:p>
      <w:r>
        <w:rPr>
          <w:b/>
        </w:rPr>
        <w:t>E. 1.2</w:t>
      </w:r>
    </w:p>
    <w:p>
      <w:r>
        <w:t>La Cour revoit la cause avec un plein pouvoir d'examen (art. 310 CPC).</w:t>
      </w:r>
    </w:p>
    <w:p>
      <w:r>
        <w:t>- 11/16 -</w:t>
      </w:r>
    </w:p>
    <w:p>
      <w:r>
        <w:t>C/2503/2022 Les mesures provisionnelles étant soumises à la procédure sommaire (271 let. a CPC par renvoi de l'art. 276 al. 1 CPC),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 Les maximes d'office et inquisitoire illimitée sont applicables aux questions concernant les enfants mineurs (art. 55 al. 2, 58 al. 2 et 296 CPC). L'autorité de céans établit en conséquence les faits d'office et n'est pas liée par les conclusions des parties (art. 296 al. 3 CPC). De nouvelles conclusions ne sont ainsi pas exclues et l’interdiction de la reformatio in pejus ne s’applique pas (ATF 129 III 417 consid. 2.1.1; arrêt du Tribunal fédéral 5A_841/2018, 5A_843/2018 du 12 février 2020 consid. 5.2; BASTONS BULLETTI, Petit commentaire Code de procédure civile, 2021, n. 19 ad art. 317 CPC). Il s'ensuit que toutes les nouvelles conclusions prises par les parties au cours de la procédure de seconde instance sont admissibles.</w:t>
      </w:r>
    </w:p>
    <w:p>
      <w:r>
        <w:rPr>
          <w:b/>
        </w:rPr>
        <w:t>E. 2</w:t>
      </w:r>
    </w:p>
    <w:p>
      <w:r>
        <w:t>Les parties ont allégué des faits nouveaux et l'appelante a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2.2</w:t>
      </w:r>
    </w:p>
    <w:p>
      <w:r>
        <w:t>En l'espèce, les pièces nouvelles sont susceptibles d'avoir une influence sur les questions relatives à l'enfant mineur, de sorte qu'elles sont recevables, de même que les faits qui s'y rapportent.</w:t>
      </w:r>
    </w:p>
    <w:p>
      <w:r>
        <w:rPr>
          <w:b/>
        </w:rPr>
        <w:t>E. 3</w:t>
      </w:r>
    </w:p>
    <w:p>
      <w:r>
        <w:t>Pour la première fois en appel, l'appelante conclut à ce qu'il soit procédé à un "examen de la faisabilité" de la garde alternée ou d'une attribution d'une garde exclusive en sa faveur.</w:t>
      </w:r>
    </w:p>
    <w:p>
      <w:r>
        <w:rPr>
          <w:b/>
        </w:rPr>
        <w:t>E. 3.1</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t>- 12/16 -</w:t>
      </w:r>
    </w:p>
    <w:p>
      <w:r>
        <w:t>C/2503/2022</w:t>
      </w:r>
    </w:p>
    <w:p>
      <w:r>
        <w:rPr>
          <w:b/>
        </w:rPr>
        <w:t>E. 3.2</w:t>
      </w:r>
    </w:p>
    <w:p>
      <w:r>
        <w:t>En l'espèce, la conclusion nouvelle de l'appelante est irrecevable dès lors que, l'appelante n'ayant pas remis en cause la garde partagée devant le premier juge, ce dernier n'a pas statué sur ce point et que l'appelante ne fait pas valoir de faits nouveaux à cet égard, notamment qu'il y aurait urgence à statuer.</w:t>
      </w:r>
    </w:p>
    <w:p>
      <w:r>
        <w:rPr>
          <w:b/>
        </w:rPr>
        <w:t>E. 4</w:t>
      </w:r>
    </w:p>
    <w:p>
      <w:r>
        <w:t>L'appelante reproche au Tribunal la confirmation de l'interdiction qui lui est faite de quitter le territoire suisse avec son fils, et donc de voyager simplement avec ce dernier, faisant valoir que cela porte atteinte, entre autre, à sa liberté de mouvement et à celle de l'enfant ainsi qu'à leur droit au respect de leur vie familiale. 4.1.1 Saisi d'une demande en divorce, le tribunal ordonne les mesures provisionnelles nécessaires, en appliquant par analogie les dispositions régissant la protection de l'union conjugale (art. 276 al. 1 CPC). Les mesures ordonnées par le tribunal des mesures protectrices sont maintenues et le juge du divorce est compétent pour prononcer leur modification ou leur révocation (art. 276 al. 2 CPC). 4.1.2 Une fois ordonnées, les mesures protectrices ou les mesures provisionnelles dans le cadre de l'action en divorce pendante ne peuvent être modifiées qu'aux conditions de l'art. 179 CC (arrêts du Tribunal fédéral 5A_253/2020 du 25 mars 2021 consid. 3.1.1; 5A_151/2016 du 27 avril 2016 consid. 3.1). Aux termes de l'art. 179 al. 1 1ère phrase CC, le juge ordonne les modifications commandées par les faits nouveaux et lève les mesures prises lorsque les causes qui les ont déterminées n'existent plus. La modification des mesures protectrices ou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arrêts du Tribunal fédéral 5A_253/2020 précité consid. 3.1.1; 5A_531/2019 du 30 janvier 2020 consid. 4.1.1). A l'appui de leur requête en modification, les parties ne peuvent pas invoquer une mauvaise appréciation des circonstances initiales, que le motif relève du droit ou de l'établissement des faits allégués sur la base des preuves déjà offertes (arrêt du Tribunal fédéral 5A_511/2010 du 4 février 2011 consid. 2.1 et 5A_618/2009 du 14 décembre 2009 consid. 3.2.2); pour faire valoir de tels motifs, seules les voies de recours sont ouvertes, car la procédure de modification n'a pas pour but de</w:t>
      </w:r>
    </w:p>
    <w:p>
      <w:r>
        <w:t>- 13/16 -</w:t>
      </w:r>
    </w:p>
    <w:p>
      <w:r>
        <w:t>C/2503/2022 corriger le premier jugement, mais de l'adapter aux circonstances nouvelles (arrêts du Tribunal fédéral 5A_783/2020 du 31 mars 2021 consid. 4.3.2; 5A_154/2019 du 1er octobre 2019 consid. 4.1) La survenance d'une modification essentielle et durable dans la situation familiale s'apprécie à la date du dépôt de la demande de modification (ATF 137 III 604 consid. 4.1.1; arrêts du Tribunal fédéral 5A_732/2015 du 8 février 2016 consid. 2; 5A_928/2014 du 26 février 2015 consid. 4.2). Si un autre motif de modification survient après l'introduction de l'instance mais avant le début des délibérations sur le jugement – c'est-à-dire jusqu'au moment où de vrais nova peuvent être présentés – , il peut et doit être invoqué dans la procédure en cours, pour autant toutefois que le caractère durable du changement soit intervenu avant cette limite temporelle (arrêt du Tribunal fédéral 5A_253/2020 précité consid. 3.1.1). 4.1.3 Selon l'art. 315a al. 1 CC, le juge chargé de régler, selon les dispositions régissant le divorce ou la protection de l'union conjugale, les relations des père et mère avec l'enfant, prend également les mesures nécessaires pour protéger le mineur si son développement est menacé et que les père et mère n'y remédient pas d'eux-mêmes (art. 307 CC). Il peut notamment interdire à un parent titulaire de l'autorité parentale conjointe d'emmener l'enfant à l'étranger si un tel déplacement compromettrait le bien de celui-ci (ACJC/519/2018 du 24 avril 2018 consid. 3 et 5; ACJC/1120/2016 du 26 août 2016 consid. 7.1.1).</w:t>
      </w:r>
    </w:p>
    <w:p>
      <w:r>
        <w:t>4.2.1 En l'espèce, l'appelante fait valoir que la décision du Tribunal lui faisant interdiction de quitter le territoire suisse avec son fils porte atteinte à leur liberté de mouvement et au respect de leur vie familiale, qu'il s'agit d'une mesure disproportionnée, que le Tribunal a effectué une mauvaise appréciation de l'attestation de F______ et que son droit d'être entendue a été violé, dès lors qu'elle n'a pas été entendue sur les divers allégués de l'intimé et n'a pas pu faire valoir les siens avant que ne soit rendue la décision du 28 juin 2022. A juste titre, le premier juge a considéré qu'il s'agissait d'arguments – et non de faits – qui auraient dû être plaidés au plus tard dans le cadre d'un appel contre l'ordonnance du 28 juin 2022 qui prononçait lesdites mesures, étant rappelé que la procédure de modification des mesures provisionnelles n'a pas pour but de corriger le premier jugement. Par conséquent, l'appel, en tant qu'il remet en question le bienfondé de la décision du 28 juin 2022, hors faits nouveaux, doit être rejeté. Ces griefs ne pouvaient être soulevés que lors d'un appel qui n'a pas été formé en l'espèce. 4.2.2 L'appelante fait également grief au Tribunal d'avoir considéré que le seul fait nouveau existant depuis la décision du 28 juin 2022 consistait dans l'acceptation par le père qu'elle puisse voyager à l'étranger avec l'enfant à l'exception de la Grande-Bretagne. Elle fait valoir qu'il existe d'autres faits, prouvant selon elle qu'elle entend désormais rester à Genève, dont le Tribunal n'a pas tenu compte dans l'ordonnance du 28 juin 2022 qui doivent être pris en considération dans le</w:t>
      </w:r>
    </w:p>
    <w:p>
      <w:r>
        <w:t>- 14/16 -</w:t>
      </w:r>
    </w:p>
    <w:p>
      <w:r>
        <w:t>C/2503/2022 cadre de la modification sur mesures provisionnelles. Elle fait ainsi valoir qu'elle vit et travaille à Genève depuis 27 ans, qu'elle perçoit une demi-rente invalidité suisse, qu'elle est financièrement aidée par l'Hospice Général et qu'elle entretient une relation sérieuse avec une personne résidant de manière stable à Genève. Or, l'ensemble de ces arguments, outre qu'ils ne sont pas nouveaux, ne permet pas de retenir, au stade de la vraisemblance, que l'appelante aurait renoncé à quitter la Suisse avant l'issue de la procédure de divorce, sa situation financière (aide sociale, travail à temps partiel) et affective (non prouvée) étant encore instable à ce jour. Par ailleurs, au moment de la décision initiale, le Tribunal avait déjà connaissance du fait que l'appelante avait voyagé plusieurs fois en Angleterre, et une fois en Tunisie, avec l'enfant tout en étant revenue, puisque l'intimé avait indiqué en audience qu'elle y était partie avec l'enfant à Noël 2021. Il ne s'agit donc pas d'un fait nouveau dans le cadre d'une demande de modification. S'agissant de déterminer les risques que l'appelante quitte définitivement la Suisse avec l'enfant pour l'Angleterre sans l'accord de l'intimé, il n'est pas pertinent de savoir si ce dernier a voyagé à l'étranger avec l'enfant. De plus, c'est à juste titre que le premier juge a considéré qu'il n'était pas compétent pour interdire l'entrée de l'enfant, ressortissant britannique, en Grande- Bretagne. Cela résulte du principe de la souveraineté territoriale des Etats, notamment consacré à l'art. 2 § 4 de la Charte des Nations Unies. En vertu de ce principe, les autorités suisses peuvent interdire à des personnes d'entrer ou de sortir du territoire suisse. En revanche, elles ne sont pas autorisées à imposer à un autre Etat, in casu la Grande-Bretagne, d'interdire à l'un de ses ressortissants d'entrer sur son territoire. Par conséquent, il n'existe pas d'autres mesures possibles que celle d'interdire à l'appelante de sortir avec l'enfant du territoire suisse pour garantir que celui-ci ne se rendra pas en Grande-Bretagne avec elle. En outre, il n'a pas été rendu vraisemblable que l'enfant souffrirait de manière intolérable du fait de ne pas avoir vu sa famille anglaise depuis une année. Si l'enfant a pu monter son mécontentement du fait de cette interdiction par des pleurs lorsque sa mère se rend en Angleterre sans lui, les médecins de l'enfant n'ont pas constaté que l'état de santé de celui-ci se serait modifié depuis cette interdiction. Ils ont certes considéré qu'il était important pour l'enfant de ne pas être privé de sa famille maternelle mais ne se sont pas exprimés sur les conséquences qu'aurait pour l'enfant un départ définitif de la Suisse. Il est de plus sans autre loisible aux grands-parents de l'enfant de venir le voir à Genève s'ils le souhaitent. Enfin, il y a lieu de pas perdre de vue que la mesure d'interdiction est temporaire, prononcée sur mesures provisionnelles, et pourra être rapportée dans le cadre du</w:t>
      </w:r>
    </w:p>
    <w:p>
      <w:r>
        <w:t>- 15/16 -</w:t>
      </w:r>
    </w:p>
    <w:p>
      <w:r>
        <w:t>C/2503/2022 jugement de divorce à prononcer par le Tribunal, jugement susceptible d'appel, cas échéant. La décision querellée doit ainsi être confirmée.</w:t>
      </w:r>
    </w:p>
    <w:p>
      <w:r>
        <w:rPr>
          <w:b/>
        </w:rPr>
        <w:t>E. 5</w:t>
      </w:r>
    </w:p>
    <w:p>
      <w:r>
        <w:t>Les frais judiciaires d'appel seront arrêtés à 800 fr. (art. 31 et 37 RTFMC) et mis à la charge de l'appelante, qui succombe (art. 106 al. 1 CPC). L'appelante plaidant au bénéfice de l'assistance judiciaire, ces frais seront provisoirement supportés par l'Etat de Genève, lequel pourra en réclamer le remboursement ultérieurement (art. 122 al. 1 let. b, 123 al. 1 CPC et 19 RAJ). Compte tenu de la nature familiale du litige, chaque partie supportera ses propres dépens d'appel (art. 107 al. 1 let. c CPC). * * * * *</w:t>
      </w:r>
    </w:p>
    <w:p>
      <w:r>
        <w:t>- 16/16 -</w:t>
      </w:r>
    </w:p>
    <w:p>
      <w:r>
        <w:t>C/2503/2022 PAR CES MOTIFS, La Chambre civile : A la forme : Déclare recevable l'appel interjeté le 12 décembre 2022 par A______ contre l'ordonnance OTPI/792/2022 rendue le 29 novembre 2022 par le Tribunal de première instance dans la cause C/2503/2022. Au fond : Confirme l'ordonnance entreprise. Déboute les parties de toutes autres conclusions. Sur les frais : Arrête les frais judiciaires d'appel à 800 fr., les met à la charge de A______ et dit qu'ils sont provisoirement pris en charge par l'Etat de Genève. Dit que chaque partie supporte ses propres dépens d'appel.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