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ACJC/705/2021 vom 7. Juni 2021</w:t>
      </w:r>
    </w:p>
    <w:p>
      <w:r>
        <w:t>GE Cour de justice, 2021-06-07, FR</w:t>
      </w:r>
    </w:p>
    <w:p>
      <w:r>
        <w:rPr>
          <w:b/>
        </w:rPr>
        <w:t xml:space="preserve">Quelle: </w:t>
      </w:r>
      <w:r>
        <w:t>https://mcp.opencaselaw.ch/entscheid/ge_gerichte_ACJC_705_2021</w:t>
      </w:r>
    </w:p>
    <w:p>
      <w:r>
        <w:t>FR: GE_GERICHTE ACJC/705/2021 du 7 juin 2021</w:t>
      </w:r>
    </w:p>
    <w:p>
      <w:r>
        <w:t>IT: GE_GERICHTE ACJC/705/2021 del 7 giugno 2021</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 Interjeté contre une décision finale de première instance, dans le délai utile de 30 jours et selon la forme prescrite par la loi, l'appel est recevable (art. 130, 131, 142 ss, 308 al. 2 et 311 CPC).</w:t>
      </w:r>
    </w:p>
    <w:p>
      <w:r>
        <w:rPr>
          <w:b/>
        </w:rPr>
        <w:t>E. 1.2</w:t>
      </w:r>
    </w:p>
    <w:p>
      <w:r>
        <w:t>La Cour revoit la cause avec un plein pouvoir d'examen (art. 310 CPC). S'agissant du sort d'un enfant mineur, les maximes d'office et inquisitoire illimitée s'appliquent (art. 296 al. 3 CPC). La Cour établit les faits d'office (art. 55 al. 2 CPC) et n'est liée ni par les conclusions des parties sur ce point (art. 296 al. 3 CPC) ni par l'interdiction de la reformatio in pejus (ATF 129 III 417 consid. 2.1.1; arrêt du Tribunal fédéral 5A_562/2009 du 18 janvier 2010 consid. 3.1).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1.3</w:t>
      </w:r>
    </w:p>
    <w:p>
      <w:r>
        <w:t>Les parties, de nationalités britannique et E______ [Asie], sont domiciliées à Genève avec leur fille mineure et ne remettent pas en cause, avec raison, la compétence des tribunaux genevois pour connaître du litige (art. 59 et 63 al. 1 LDIP) ni l'application du droit suisse (art. 61 al. 1, 63 al. 2, 82 al. 1, 83 al. 1 et 85 LDIP; art. 5 CLaH96; art. 4 CLaH73).</w:t>
      </w:r>
    </w:p>
    <w:p>
      <w:r>
        <w:rPr>
          <w:b/>
        </w:rPr>
        <w:t>E. 2</w:t>
      </w:r>
    </w:p>
    <w:p>
      <w:r>
        <w:t>Les parties ont allégué des faits nouveaux et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(ATF 144 III 349 consid. 4.2.1).</w:t>
      </w:r>
    </w:p>
    <w:p>
      <w:r>
        <w:t>- 12/19 -</w:t>
      </w:r>
    </w:p>
    <w:p>
      <w:r>
        <w:t>C/16471/2019</w:t>
      </w:r>
    </w:p>
    <w:p>
      <w:r>
        <w:rPr>
          <w:b/>
        </w:rPr>
        <w:t>E. 2.2</w:t>
      </w:r>
    </w:p>
    <w:p>
      <w:r>
        <w:t>En l'espèce, les allégués et pièces nouveaux dont les parties se prévalent devant la Cour sont susceptibles d'avoir une influence sur les questions relatives à leur fille mineure, de sorte qu'ils sont recevables.</w:t>
      </w:r>
    </w:p>
    <w:p>
      <w:r>
        <w:rPr>
          <w:b/>
        </w:rPr>
        <w:t>E. 3</w:t>
      </w:r>
    </w:p>
    <w:p>
      <w:r>
        <w:t>L'appelant reproche au Tribunal d'avoir violé l'art. 301a CC et le principe de l'interdiction de l'arbitraire (art. 9 Cst.) en autorisant le déplacement du lieu de résidence de sa fille à E______ [Asie]. Il lui fait grief d'avoir établi les faits de façon arbitraire et incomplète, en se fondant sur les seuls allégués de l'intimée et sans avoir instruit le dossier sur cette problématique, en dépit de son opposition à un tel déplacement.</w:t>
      </w:r>
    </w:p>
    <w:p>
      <w:r>
        <w:rPr>
          <w:b/>
        </w:rPr>
        <w:t>E. 3.1</w:t>
      </w:r>
    </w:p>
    <w:p>
      <w:r>
        <w:t>Aux termes de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lorsque le déménagement a des conséquences importantes pour l'exercice de l'autorité parentale par l'autre parent et pour les relations personnelles (let. b).</w:t>
      </w:r>
    </w:p>
    <w:p>
      <w:r>
        <w:rPr>
          <w:b/>
        </w:rPr>
        <w:t>E. 3.1.1</w:t>
      </w:r>
    </w:p>
    <w:p>
      <w:r>
        <w:t>L'exigence d'une autorisation ne concerne que le changement de lieu de résidence de l'enfant, non celui des parents. L'autorité parentale conjointe ne doit pas priver de facto les parents de leur liberté d'établissement (art. 24 Cst.) en les empêchant de déménager (arrêts du Tribunal fédéral 5A_310/2019 du 5 novembre 2019 consid. 3.1; 5A_1018/2017 du 14 juin 2018 consid. 3.1 et les références).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481 consid. 2.6, 502 consid. 2.5; arrêt du Tribunal fédéral 5A_310/2019 précité consid. 3.1).</w:t>
      </w:r>
    </w:p>
    <w:p>
      <w:r>
        <w:rPr>
          <w:b/>
        </w:rPr>
        <w:t>E. 3.1.2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142 III 502 consid. 2.5; 138 III 565 consid. 4.3.2), il sera en principe dans l'intérêt de l'enfant de déménager avec lui, pour autant qu'il puisse lui garantir une</w:t>
      </w:r>
    </w:p>
    <w:p>
      <w:r>
        <w:t>- 13/19 -</w:t>
      </w:r>
    </w:p>
    <w:p>
      <w:r>
        <w:t>C/16471/2019 prise en charge similaire dans son futur lieu de vie et que le déménagement n'entraîne pas une mise en danger du bien de l'enfant (ATF 142 III 481 consid. 2.7;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(ATF 136 III 353 consid. 3.3). Il est possible de contrecarrer l'éloignement linguistique et physique entre un enfant et son père ou sa mère par un aménagement adapté des droits de visite et de vacances (ATF 144 III 10 consid. 6.4).</w:t>
      </w:r>
    </w:p>
    <w:p>
      <w:r>
        <w:rPr>
          <w:b/>
        </w:rPr>
        <w:t>E. 3.1.3</w:t>
      </w:r>
    </w:p>
    <w:p>
      <w:r>
        <w:t>La décision du juge sera prise dans l'intérêt de l'enfant, lequel est protégé par la Constitution (art. 11 Cst.) et constitue la ligne directrice pour l'ensemble des affaires se rapportant aux enfants (ATF 143 III 193 consid. 3; 142 III 481 consid. 2.6; 141 III 312 consid. 4.2.4, 328 consid. 5.4). Si cet intérêt est préservé, l'autorisation de déménager pourra être accordée, si nécessaire après révision des modalités régissant la prise en charge et les relations personnelles de l'enfant (arrêts du Tribunal fédéral 5A_444/2017 du 30 août 2017 consid. 5.3.1; 5A_274/2016 du 26 août 2016 consid. 6). Dans la mesure où sa décision doit uniquement tenir compte du bien de l'enfant, le juge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 que le juge doit établir d'office conformément aux maximes applicables dans toutes les affaires concernant les enfants mineurs (art. 296 CPC, art. 314 al. 1 CC cum art. 446 CC) (ATF 142 III 481 consid. 2.6) –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w:t>
      </w:r>
    </w:p>
    <w:p>
      <w:r>
        <w:t>- 14/19 -</w:t>
      </w:r>
    </w:p>
    <w:p>
      <w:r>
        <w:t>C/16471/2019 Ainsi, même lorsque les conditions d'un déplacement sont remplies, il faut encore tenir compte des circonstances concrètes de l'espèce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142 III 612 consid. 4.3; 142 III 481 consid. 2.7; arrêt du Tribunal fédéral 5A_530/2020 du 17 août 2020 consid. 4.1.3).</w:t>
      </w:r>
    </w:p>
    <w:p>
      <w:r>
        <w:rPr>
          <w:b/>
        </w:rPr>
        <w:t>E. 3.1.4</w:t>
      </w:r>
    </w:p>
    <w:p>
      <w:r>
        <w:t>L'examen de l'adaptation des modalités de la prise en charge, des relations personnelles et de l'entretien ne doit pas être dissocié de la question du déménagement, compte tenu du lien étroit entre ces éléments (ATF 142 III 502 consid. 2.6; arrêt du Tribunal fédéral 5A_310/2019 précité consid. 3.3).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arrêts du Tribunal fédéral 5A_690/2020 du</w:t>
      </w:r>
    </w:p>
    <w:p>
      <w:r>
        <w:rPr>
          <w:b/>
        </w:rPr>
        <w:t>E. 3.2</w:t>
      </w:r>
    </w:p>
    <w:p>
      <w:r>
        <w:t>Selon l'art. 298 al. 1 CPC, les enfants sont entendus personnellement et de manière appropriée par le juge ou par un tiers nommé à cet effet, pour autant que leur âge ou de justes motifs ne s'y opposent pas.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(arrêt du Tribunal fédéral 5A_971/2015 du 30 juin 2016 consid. 5.1 et les références). L'audition ne présuppose pas que l'enfant ait la capacité de discernement au sens de l'art. 16 CC. Selon la ligne directrice suivie par le Tribunal fédéral, il doit, en principe, être entendu à partir de 6 ans révolus (ATF 133 III 553 consid. 3; arrêt du Tribunal fédéral 5A_983/2019 du 13 novembre 2020 consid. 5.1). Cet âge minimum est indépendant du fait que, en psychologie enfantine, on considère que</w:t>
      </w:r>
    </w:p>
    <w:p>
      <w:r>
        <w:t>- 15/19 -</w:t>
      </w:r>
    </w:p>
    <w:p>
      <w:r>
        <w:t>C/16471/2019 les activités mentales de logique formelle ne sont possibles qu'à partir d'un âge variant entre 11 et 13 ans environ et que la capacité de différenciation et d'abstraction orale ne se développe plus ou moins qu'à partir de cet âge-là (arrêts du Tribunal fédéral 5A_983/2019 précité; 5A_488/2017 du 8 novembre 2017 consid. 3.1.3 et les références).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consid. 2.6; arrêt du Tribunal fédéral 5A_983/2019 précité et les références).</w:t>
      </w:r>
    </w:p>
    <w:p>
      <w:r>
        <w:rPr>
          <w:b/>
        </w:rPr>
        <w:t>E. 3.3</w:t>
      </w:r>
    </w:p>
    <w:p>
      <w:r>
        <w:t>En l'espèce, c'est à bon droit que l'appelant reproche au Tribunal d'avoir versé dans l'arbitraire en autorisant la mère à déplacer le lieu de résidence de l'enfant à l'étranger, sans avoir procédé à la moindre instruction quant à cet aspect du litige, qu'il s'agisse des conditions du déménagement envisagé par l'intimée (dont on ignore tout si ce n'est que celle-ci est originaire de E______ [Asie], pays où elle a vécu et grandi et où résident ses parents) ou des conséquences d'un tel déplacement sur les modalités de prise en charge de l'enfant, sur les relations personnelles père-fille et sur l'entretien convenable de la mineure à l'étranger.</w:t>
      </w:r>
    </w:p>
    <w:p>
      <w:r>
        <w:rPr>
          <w:b/>
        </w:rPr>
        <w:t>E. 3.3.1</w:t>
      </w:r>
    </w:p>
    <w:p>
      <w:r>
        <w:t>A cet égard, l'appelant a exprimé son opposition au déplacement de C______ à E______ [Asie], tant à l'audience du 13 janvier 2020 que dans ses plaidoiries finales écrites. L'intimée a du reste confirmé que le père était opposé à un départ de l'enfant hors de Suisse dans sa réponse du 12 décembre 2019. S'il est vrai que l'ex-époux, pourtant assisté d'un avocat, n'a pas pris de conclusions formelles tendant à ce qu'il soit fait interdiction à la mère de déplacer le lieu de résidence de la mineure à l'étranger sans y être autorisée par lui-même ou par le juge, il n'en reste pas moins que le père a clairement manifesté son refus d'autoriser le déménagement de sa fille dans un pays se situant à environ 10'500 km de Genève. Faisant abstraction de ce qui précède, le Tribunal, se fondant sur les allégués de l'intimée, s'est borné à affirmer de façon péremptoire qu'il était dans l'intérêt de l'enfant de suivre sa mère à E______ [Asie], au motif qu'il s'agissait d'un pays prospère et doté d'un excellent système scolaire et universitaire, que le père pourrait exercer son droit de visite pendant les vacances d'été et "la totalité des autres vacances scolaires de E______ [Asie]" et qu'il lui serait loisible de solliciter l'adaptation du montant de la contribution due à l'entretien à sa fille une fois que celle-ci serait installée à E______ [Asie]. Ainsi que l'a souligné l'appelant, les débats principaux n'ont pas porté sur le déplacement du lieu de résidence de l'enfant – sujet qui n'a pas été abordé lors de l'audience du 24 février 2020 –, mais uniquement sur la situation actuelle des parties, à savoir sur leurs revenus et charges et sur l'exercice du droit de visite du père en Suisse. En dépit de l'enjeu significatif que représente le déménagement de la mineure en Asie du Sud-Est, le Tribunal – en violation des maximes d'office et</w:t>
      </w:r>
    </w:p>
    <w:p>
      <w:r>
        <w:t>- 16/19 -</w:t>
      </w:r>
    </w:p>
    <w:p>
      <w:r>
        <w:t>C/16471/2019 inquisitoire illimitée applicables – n'a procédé à aucun acte d'instruction afin d'établir quels seraient les besoins concrets de la mineure en cas de départ à l'étranger, respectivement d'appréhender les conditions d'existence que l'intimée serait en mesure de lui offrir à E______ [Asie] (environnement social et familial de l'enfant à E______ [Asie], langue du futur domicile, cursus scolaire envisagé, écolage, couverture sociale, conditions de logement, activité professionnelle et taux d'occupation de la mère à E______ [Asie], compatibilité de la date de départ envisagée avec le suivi scolaire de C______, etc.) et de déterminer les aménagements nécessaires pour maintenir les relations personnelles entre le père et la fille, notamment pendant les vacances scolaires (en tenant compte des impératifs professionnels de l'appelant et des coûts inhérents à l'exercice du droit de visite). Conformément aux principes rappelés ci-avant, le Tribunal n'était pas fondé à statuer in abstracto sur ces différents aspects du litige. Il se devait, à tout le moins, d'interroger les parties sur le déménagement envisagé par l'ex-épouse et sur l'ensemble des conséquences pratiques de l'installation de la mineure à E______ [Asie], de solliciter un rapport d'évaluation sociale, afin de recueillir le préavis du SEASP sur les circonstances concrètes du cas d'espèce (modèle de prise en charge préexistant; conditions du déménagement souhaité par la mère; besoins de l'enfant en lien avec ce déménagement; modalités de prise en charge – offertes et possibles – de la mineure dans son nouveau lieu de vie, aménagement du droit de visite du père si l'enfant réside à E______ [Asie], etc.) et de (faire) procéder à l'audition de C______, âgée de 7 ans, les parties n'ayant invoqué aucun motif impérieux qui justifierait d'y renoncer. Il résulte de ce qui précède que le Tribunal n'a pas établi les faits pertinents de la cause s'agissant des questions relatives au sort de l'enfant, à savoir le déplacement éventuel de son lieu de résidence à E______ [Asie], les modalités de sa prise en charge actuelle et future (garde, relations personnelles) et les aspects financiers qui en découlent (bonifications pour tâches éducatives AVS, pension alimentaire); eu égard à l'interdépendance étroite entre l'éventuelle approbation d'un tel déplacement et l'adaptation des modalités de prise en charge, de visite et d'entretien, ces différents points ne peuvent être appréciés séparément. Une telle carence ne saurait être guérie devant la Cour, quand bien même celle-ci dispose d'une pleine cognition en fait comme en droit. Afin que les parties ne soient pas privées du double degré de juridiction, les chiffres 3 à 8 du dispositif jugement attaqué seront annulés et la cause renvoyée au premier juge pour instruction complémentaire et nouvelle décision sur les questions de fond visées aux chiffres précités (art. 318 al. 1 let. c ch. 2 CPC). S'agissant de la pension alimentaire et de son éventuelle adaptation, l'appelant souligne avec raison que l'intimée ne s'est pas exprimée, même succinctement, sur les effets financiers de son installation à E______ [Asie]. Or, c'est à cette dernière</w:t>
      </w:r>
    </w:p>
    <w:p>
      <w:r>
        <w:t>- 17/19 -</w:t>
      </w:r>
    </w:p>
    <w:p>
      <w:r>
        <w:t>C/16471/2019 qu'il incombe de fournir les informations pertinentes, dès lors qu'elle est la mieux à même de renseigner le Tribunal à ce sujet et de réunir les pièces aptes à établir (ou du moins à estimer) quels seront ses revenus et charges suite à son départ de Genève. Conformément à son devoir de collaborer à la procédure, il appartiendra à l'intimée de se déterminer de façon circonstanciée sur ses perspectives économiques à E______ [Asie] (type d'activité professionnelle et taux d'occupation envisagés, salaires médians pratiqués dans le domaine considéré, etc.), ainsi que sur les dépenses courantes qu'elle devra y assumer pour elle-même et sa fille (coût de la vie à E______ [Asie], loyers statistiques pour un logement de 3 ou 4 pièces à E______ [Asie], écolage dans un établissement scolaire public ou privé « standard », tarifs usuels pour les cuisines scolaires et l'accueil parascolaire, etc.). Au surplus, la contribution due à l'entretien de C______ devra être fixée en application de la méthode uniforme préconisée par le Tribunal fédéral dans son arrêt de principe 5A_311/2019 du 11 novembre 2020 (destiné à la publication), en tenant compte s'il y a lieu du coût inhérent à l'exercice du droit de visite du père à E______ [Asie]. Dès lors que l'entretien et les modalités de prise en charge de la mineure dépendent de la question de savoir si l'autorisation de déplacer le lieu de résidence de celle-ci sera ou non finalement accordée, il n'y a pas lieu d'examiner plus avant les griefs développés par l'appelant en lien avec l'attribution à lui-même de la garde de C______ et avec la fixation de la pension alimentaire. Il en va de même des griefs soulevés en lien avec la contribution d'entretien post-divorce, dont la quotité est susceptible d'être modifiée par le Tribunal lorsqu'il aura statué à nouveau sur les questions relatives au sort de l'enfant.</w:t>
      </w:r>
    </w:p>
    <w:p>
      <w:r>
        <w:rPr>
          <w:b/>
        </w:rPr>
        <w:t>E. 3.3.2</w:t>
      </w:r>
    </w:p>
    <w:p>
      <w:r>
        <w:t>Dès lors que la cause est renvoyée au premier juge pour instruction complémentaire et nouvelle décision sur les droits parentaux et sur les contributions d'entretien pour C______ et l'ex-épouse, il se justifie d'annuler les chiffres 11 à 13 du dispositif du jugement entrepris. Le Tribunal sera invité à statuer sur l'ensemble des frais judiciaires et dépens de première instance dans le jugement qu'il rendra au terme de la procédure de renvoi. 4. Vu les circonstances du cas d'espèce et eu égard aux griefs soulevés par l'appelant, la Cour renoncera à la perception de frais judiciaires d'appel, qui seront laissés à la charge de l'Etat de Genève (art. 107 al. 2 CPC).</w:t>
      </w:r>
    </w:p>
    <w:p>
      <w:r>
        <w:t>L'avance de frais versée sera restituée à l'appelant. Compte tenu de la nature familiale du litige, chaque partie supportera ses propres dépens d'appel (art. 107 al. 1 let. f CPC). * * * * *</w:t>
      </w:r>
    </w:p>
    <w:p>
      <w:r>
        <w:t>- 18/19 -</w:t>
      </w:r>
    </w:p>
    <w:p>
      <w:r>
        <w:t>C/16471/2019</w:t>
      </w:r>
    </w:p>
    <w:p>
      <w:r>
        <w:t>PAR CES MOTIFS, La Chambre civile : A la forme : Déclare recevable l'appel interjeté par A______ contre les chiffres 3 à 8 du dispositif du jugement JTPI/13377/2020 rendu le 2 novembre 2020 par le Tribunal de première instance dans la cause C/16471/2019. Au fond : Annule les chiffres 3 à 8 et 11 à 13 du dispositif du jugement entrepris. Renvoie la cause au Tribunal de première instance pour instruction complémentaire et nouvelle décision dans le sens des considérants. Déboute les parties de toutes autres conclusions d'appel. Sur les frais : Renonce à la perception de frais judiciaires d'appel. Invite les Services financiers du Pouvoir judiciaire à restituer à A______ l'avance versée en 1'875 fr. Dit que chaque partie supporte ses propres dépens d'appel. Siégeant : Madame Nathalie RAPP, présidente; Madame Sylvie DROIN, Monsieur Jean REYMOND, juges; Madame Camille LESTEVEN, greffière.</w:t>
      </w:r>
    </w:p>
    <w:p>
      <w:r>
        <w:t>- 19/19 -</w:t>
      </w:r>
    </w:p>
    <w:p>
      <w:r>
        <w:t>C/16471/2019</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5</w:t>
      </w:r>
    </w:p>
    <w:p>
      <w:r>
        <w:t>novembre 2020 consid. 3.1.3; 5A_310/2019 précité consid. 3.3). Il n'est certes pas toujours possible d'exiger du parent qui souhaite déménager qu'il fournisse certains détails, tels que l'adresse exacte de son domicile à l'étranger ou celle de l'école que l'enfant sera amené à fréquenter, car ce parent sera souvent tributaire du consentement de l'autre parent, respectivement de la décision du juge autorisant le déplacement, pour mettre ses projets à exécution. Toutefois, les contours du déménagement doivent être clairs car le consentement ou le refus de l'autre parent ou du juge doit être fondé sur des motifs concrets (ATF 142 III 481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