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ACJC/705/2018 vom 16. Juli 2018</w:t>
      </w:r>
    </w:p>
    <w:p>
      <w:r>
        <w:t>GE Cour de justice, 2018-07-16, FR</w:t>
      </w:r>
    </w:p>
    <w:p>
      <w:r>
        <w:rPr>
          <w:b/>
        </w:rPr>
        <w:t xml:space="preserve">Quelle: </w:t>
      </w:r>
      <w:r>
        <w:t>https://mcp.opencaselaw.ch/entscheid/ge_gerichte_ACJC_705_2018</w:t>
      </w:r>
    </w:p>
    <w:p>
      <w:r>
        <w:t>FR: GE_GERICHTE ACJC/705/2018 du 16 juillet 2018</w:t>
      </w:r>
    </w:p>
    <w:p>
      <w:r>
        <w:t>IT: GE_GERICHTE ACJC/705/2018 del 16 luglio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(cf. art. 308 CPC). En l'espèce, la cause porte sur la contribution d'entretien de l'intimée, dont la valeur est manifestement supérieure à 10'000 fr. (art. 92 al. 2 CPC). La voie de l'appel est dès lors ouverte.</w:t>
      </w:r>
    </w:p>
    <w:p>
      <w:r>
        <w:rPr>
          <w:b/>
        </w:rPr>
        <w:t>E. 1.2</w:t>
      </w:r>
    </w:p>
    <w:p>
      <w:r>
        <w:t>Interjeté dans le délai utile de dix jours (art. 271 lit. a et 314 al. 1 CPC), suivant la forme prescrite par la loi (art. 130, 131, 311 al. 1 CPC), l'appel est recevable.</w:t>
      </w:r>
    </w:p>
    <w:p>
      <w:r>
        <w:t>- 6/11 -</w:t>
      </w:r>
    </w:p>
    <w:p>
      <w:r>
        <w:t>C/20117/2017</w:t>
      </w:r>
    </w:p>
    <w:p>
      <w:r>
        <w:rPr>
          <w:b/>
        </w:rPr>
        <w:t>E. 1.3</w:t>
      </w:r>
    </w:p>
    <w:p>
      <w:r>
        <w:t>S'agissant d'un appel, la Cour revoit la cause avec un plein pouvoir d'examen en fait et en droit (art. 310 CPC).</w:t>
      </w:r>
    </w:p>
    <w:p>
      <w:r>
        <w:t>Les mesures provisionnelles prises dans le cadre d'une action en divorce étant soumises à la procédure sommaire au sens propre (art. 248 let. d, 271 let. a et 276 al. 1 CPC; HOHL, Procédure civile, Tome II, 2ème éd., 2010, n. 1958), la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t>Les maximes de disposition (art. 58 al. 1 CPC; ATF 128 III 411 consid. 3.2.2) et des débats (art. 55 al. 1 et 277 CPC) sont applicables s'agissant de la contribution d'entretien en faveur de l'un des époux (arrêts du Tribunal fédéral 5A_831/2016 du 21 mars 2017 consid. 4.4 et 5A_757/2013 du 14 juillet 2014 consid. 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maxime inquisitoire simple (cf. art. 272 CPC) ne fait pas obstacle à une application stricte de l'art. 317 CPC (ATF 138 III 625 consid. 2.2; arrêts du Tribunal fédéral 5A_807/2012 du 6 février 2013 consid. 5.3; 5A_63/2012 du 20 juin 2012 consid. 2.2).</w:t>
      </w:r>
    </w:p>
    <w:p>
      <w:r>
        <w:rPr>
          <w:b/>
        </w:rPr>
        <w:t>E. 2.2</w:t>
      </w:r>
    </w:p>
    <w:p>
      <w:r>
        <w:t>En l'espèce, la pièce nouvelle produite par l'intimée à l'appui de sa réponse est recevable, ainsi que les faits qui s'y rapportent, dans la mesure où elle n'existait pas à l'époque du prononcé du jugement entrepris et a été versée à la procédure diligemment, soit à l'appui de la réponse. Il en va de même du certificat médical produit le 10 avril 2018 produit à l'appui de la duplique du 13 avril 2018. Cependant, les deux autres pièces nouvelles produites par l'intimée, datées des 23 février et 2 mars 2018, ne sont pas recevables : bien que disponibles à la date du dépôt de la réponse, le 12 mars 2018, l'intimée a attendu le dépôt de sa réplique un mois plus tard pour les verser à la procédure, de sorte qu'elle n'a pas respecté les réquisits de l'art. 317 CPC, en tardant à les produire.</w:t>
      </w:r>
    </w:p>
    <w:p>
      <w:r>
        <w:rPr>
          <w:b/>
        </w:rPr>
        <w:t>E. 3.1.1</w:t>
      </w:r>
    </w:p>
    <w:p>
      <w:r>
        <w:t>Le principe et le montant de la contribution d'entretien due selon l'art. 176 al. 1 ch. 1 CC, applicable par analogie aux mesures provisionnelles pendant la procédure de divorce (art. 276 al. 1 CPC), se déterminent en fonction des facultés économiques et des besoins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w:t>
      </w:r>
    </w:p>
    <w:p>
      <w:r>
        <w:t>- 7/11 -</w:t>
      </w:r>
    </w:p>
    <w:p>
      <w:r>
        <w:t>C/20117/2017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w:t>
      </w:r>
    </w:p>
    <w:p>
      <w:r>
        <w:t>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 Le juge peut donc devoir modifier la convention conclue pour la vie commune, afin de l'adapter à ces faits nouveaux. La loi n'impose pas de méthode de calcul particulière pour arrêter le montant de la contribution d'entretien (ATF 140 III 337 consid. 4.2.2; 128 III 411 consid. 3.2.2); sa fixation relève de l'appréciation du juge, qui jouit pour cela d'un large pouvoir et applique les règles du droit et de l'équité (art. 4 CC; ATF 134 III 577 consid. 4; 127 III 136 consid. 3a; 111 II 410 consid. 2a; arrêt du Tribunal fédéral 5A_920/2016 du 5 juillet 2017 consid. 4.1.1).</w:t>
      </w:r>
    </w:p>
    <w:p>
      <w:r>
        <w:t>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du Tribunal fédéral 5A_593/2017 du 5 novembre 2017 consid. 3.2).</w:t>
      </w:r>
    </w:p>
    <w:p>
      <w:r>
        <w:t>- 8/11 -</w:t>
      </w:r>
    </w:p>
    <w:p>
      <w:r>
        <w:t>C/20117/2017</w:t>
      </w:r>
    </w:p>
    <w:p>
      <w:r>
        <w:rPr>
          <w:b/>
        </w:rPr>
        <w:t>E. 3.1.2</w:t>
      </w:r>
    </w:p>
    <w:p>
      <w:r>
        <w:t>L'une des méthodes préconisées par la doctrine, qui est considérée comme conforme au droit fédéral, en présence de revenus moyens (arrêt du Tribunal fédéral 5A_287/2012 du 14 août 2012 consid. 3.2.3),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références) ou que des circonstances importantes ne justifient de s'en écarter (ATF 119 II 314 consid. 4b/bb; arrêt du Tribunal fédéral 5A_745/2015 du 15 juin 2016 consid. 4.5.2.2).</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137 III 102 consid. 4.2.2.2.; 128 III 4 consid. 4a).</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p. 108; 128 III 4 consid. 4c/bb p. 7).</w:t>
      </w:r>
    </w:p>
    <w:p>
      <w:r>
        <w:rPr>
          <w:b/>
        </w:rPr>
        <w:t>E. 3.1.4</w:t>
      </w:r>
    </w:p>
    <w:p>
      <w:r>
        <w:t>Si les revenus (du travail et de la fortune) suffisent à l'entretien des conjoints, la substance de la fortune n'est normalement pas prise en considération (ATF 138 III 289 consid. 11.1.2; arrêt 5A_479/2015 du 6 janvier 2016 consid. 4.4.3). Dans le cas contraire, l'entretien peut, en principe, être assuré par des prélèvements dans la fortune des époux, le cas échéant même par les biens propres (ATF 138 III 289 consid. 11.1.2; 134 III 581 consid. 3.3; 129 III 7 consid. 3.2.1; arrêts du Tribunal fédéral 5A_823/2014 du 3 février 2015 consid. 5.4; 5A_396/2013 du 26 février 2014 consid. 5.4.2; 5A_651/2011 du 26 avril 2012 consid. 6.1.3.2 in fine non publié aux ATF 138 III 374), que ce soit en mesures provisionnelles ou dans la procédure au fond (arrêts du Tribunal fédéral 5A_23/2014 du 6 octobre 2014 consid. 3.4.2; 5A_449/2008 du 15 septembre 2008 consid. 3.3 et la jurisprudence mentionnée).</w:t>
      </w:r>
    </w:p>
    <w:p>
      <w:r>
        <w:t>En outre, pour respecter le principe d'égalité entre les époux, on ne saurait exiger d'un conjoint qu'il entame sa fortune pour assurer l'entretien courant que si on impose à l'autre d'en faire autant, à moins qu'il n'en soit dépourvu (ATF 129 III 7</w:t>
      </w:r>
    </w:p>
    <w:p>
      <w:r>
        <w:t>- 9/11 -</w:t>
      </w:r>
    </w:p>
    <w:p>
      <w:r>
        <w:t>C/20117/2017 consid. 3.1.2; arrêt 5A_372/2015 du 29 septembre 2015 consid. 2.1.2 les nombreuses jurisprudences citées).</w:t>
      </w:r>
    </w:p>
    <w:p>
      <w:r>
        <w:rPr>
          <w:b/>
        </w:rPr>
        <w:t>E. 3.2</w:t>
      </w:r>
    </w:p>
    <w:p>
      <w:r>
        <w:t>En premier lieu, l'appelant estime que le Tribunal n'a pas suffisamment éclairci comment l'intimée avait utilisé le produit de la vente de leur villa.</w:t>
      </w:r>
    </w:p>
    <w:p>
      <w:r>
        <w:t>L'appelant n'expose cependant pas quelle conclusion il entend tirer d'un éventuel éclaircissement sur point. Il semble qu'il sous-entend que la substance de la fortune de son épouse devrait être prise en compte dans le calcul de la contribution d'entretien éventuellement due. Or, il ressort de ce qui suit que le revenu du travail des époux permet de couvrir leur entretien, de sorte qu'il ne peut être attendu de l'intimée qu'elle entame la substance de sa fortune, somme toute relativement limitée même à supposer qu'elle ait conservé l'essentiel du produit de la vente, ce qui n'est pas rendu vraisemblable.</w:t>
      </w:r>
    </w:p>
    <w:p>
      <w:r>
        <w:t>Dans ce cadre, il est, au contraire, suffisamment établi que, depuis la séparation, et en raison de sa situation économique précaire - sans indemnité de chômage, ni contribution d'entretien -, l'intimée a déjà vécu sur la substance de sa fortune. Il ne saurait donc être exigé qu'elle vive indéfiniment sur ce modeste capital.</w:t>
      </w:r>
    </w:p>
    <w:p>
      <w:r>
        <w:t>Par conséquent, les griefs soulevés par l'appelant sur ce point seront rejetés. Des éclaircissements sur la façon dont l'intimée aurait fait usage de sa fortune ne sont donc pas nécessaires à ce stade, où les principes de célérité et de vraisemblance sont applicables.</w:t>
      </w:r>
    </w:p>
    <w:p>
      <w:r>
        <w:rPr>
          <w:b/>
        </w:rPr>
        <w:t>E. 3.3</w:t>
      </w:r>
    </w:p>
    <w:p>
      <w:r>
        <w:t>L'appelant reproche au premier juge de n'avoir pas retenu la réelle capacité de gain de l'intimée. Ni son âge, ni son état de santé ne faisaient obstacle à une augmentation de ses revenus. Elle pouvait exploiter ______ qu'elle avait acquise. Dans ce cadre, le principe du clean break était applicable.</w:t>
      </w:r>
    </w:p>
    <w:p>
      <w:r>
        <w:t>Conformément à la jurisprudence, il ne saurait être question d'appliquer le principe du clean break dans le prononcé sur mesures provisionnelles, puisque, si le juge peut devoir s'éloigner de la convention des parties pendant la vie commune, il ne lui appartient pas d'examiner les questions ayant trait au fond, soit notamment l'influence du mariage sur la capacité de gain des époux.</w:t>
      </w:r>
    </w:p>
    <w:p>
      <w:r>
        <w:t>En outre, la décision du Tribunal de retenir pour vraisemblable les problèmes de genou de l'intimée n'est pas critiquable. Certes, le certificat médical produit date de 2011, mais l'intimée a encore produit des attestations médicales en appel. Celles-ci ne mentionnent peut-être pas l'affection dont souffrirait l'intimée, mais l'ensemble de ces pièces suffit à rendre vraisemblable une diminution de la capacité de gain due à des problèmes de santé.</w:t>
      </w:r>
    </w:p>
    <w:p>
      <w:r>
        <w:t>Quoi qu'il en soit, il ressort suffisamment du dossier que compte tenu de son âge au moment de la séparation, soit 50 ans, et du fait qu'elle avait passé les douze</w:t>
      </w:r>
    </w:p>
    <w:p>
      <w:r>
        <w:t>- 10/11 -</w:t>
      </w:r>
    </w:p>
    <w:p>
      <w:r>
        <w:t>C/20117/2017 dernières années à travailler dans l'entreprise de "______" de son mari, sans être payée ni ne bénéficier de couverture sociale, l'intimée a entrepris, à ce stade, les mesures nécessaires pour exploiter sa capacité de gain.</w:t>
      </w:r>
    </w:p>
    <w:p>
      <w:r>
        <w:t>Ainsi, elle a non seulement trouvé un emploi à temps partiel au sein d'une entreprise de nettoyage, mais elle a aussi, sans relâche, recherché des emplois d'appoint chez des privés, ce qui est rendu suffisamment vraisemblable. Dépourvue de toute formation et compte tenu de son âge, l'on ne discerne pas quel emploi plus rémunérateur pourrait obtenir l'intimée. A ce titre, l'appelant n'allègue rien en ce sens, mis à part ce qui suit.</w:t>
      </w:r>
    </w:p>
    <w:p>
      <w:r>
        <w:t>L'appelant laisse entendre que l'intimée devrait exploiter ______ qu'elle a acquise sur le produit de la vente de la maison. Ce faisant, il perd de vue qu'il ressort du dossier que c'est lui qui s'occupait de la gestion de leur affaire pendant la vie commune, son épouse n'ayant pas même accès à la comptabilité de leur entreprise. Il en découle que le dossier ne permet pas de retenir que l'intimée aurait les compétences pour exploiter seule une ______, tout en gérant les aspects relatifs aux autorisations, les contrats, les stocks, la comptabilité et le personnel. Le simple fait qu'elle ait envisagé de poursuivre cette activité en acquérant une ______ ne permet pas de conclure qu'elle pouvait réellement s'y adonner. D'ailleurs, au vu des revenus que l'appelant admet réaliser par cette activité, il n'est pas rendu vraisemblable que l'intimée, qui, si elle se lançait dans ce domaine serait confrontée comme débutante à la concurrence des marchands déjà en place, y compris l'appelant, parviendrait à réaliser un revenu net supérieur à celui qu'elle réalise actuellement, soit quelque 2'800 fr. nets par mois, alors que l'appelant réalise actuellement entre 4'000 fr. et 6'000 fr. nets selon ses dires.</w:t>
      </w:r>
    </w:p>
    <w:p>
      <w:r>
        <w:t>Il en découle que le raisonnement exposé par le Tribunal n'est pas critiquable sous cet angle et que la contribution d'entretien allouée n'est pas excessive, par rapport aux revenus et charges effectifs des parties.</w:t>
      </w:r>
    </w:p>
    <w:p>
      <w:r>
        <w:t>Les griefs de l'appelant seront rejetés et la décision entreprise confirmée.</w:t>
      </w:r>
    </w:p>
    <w:p>
      <w:r>
        <w:rPr>
          <w:b/>
        </w:rPr>
        <w:t>E. 4.1</w:t>
      </w:r>
    </w:p>
    <w:p>
      <w:r>
        <w:t>Les frais judiciaires d'appel seront fixés à 800 fr. (art. 30 et 35 du Règlement fixant le tarif des greffes en matière civile, RTFMC - E 1 05.10), compensés avec l'avance de frais fournie par l'appelant (art. 111 al. 1 CPC) et mis à la charge de celui-ci, qui succombe (art. 106 al. 1 CPC).</w:t>
      </w:r>
    </w:p>
    <w:p>
      <w:r>
        <w:rPr>
          <w:b/>
        </w:rPr>
        <w:t>E. 4.2</w:t>
      </w:r>
    </w:p>
    <w:p>
      <w:r>
        <w:t>Au vu de l'issue du litige, l'appelant sera condamné à verser à l'intimée des dépens en 2'000 fr. (art. 85 al. 1, 88 et 90 RTFMC). * * * * * *</w:t>
      </w:r>
    </w:p>
    <w:p>
      <w:r>
        <w:t>- 11/11 -</w:t>
      </w:r>
    </w:p>
    <w:p>
      <w:r>
        <w:t>C/20117/2017 PAR CES MOTIFS, La Chambre civile : A la forme : Déclare recevable l'appel interjeté par A______ contre l'ordonnance OTPI/9/2018 rendue le 10 janvier 2018 par le Tribunal de première instance dans la cause C/20117/2017-21. Au fond : Confirme l'ordonnance entreprise. Déboute les parties de toutes autres conclusions. Sur les frais : Fixe les frais judiciaires d'appel à 800 fr., les met à la charge de A______ et les compense avec l'avance de même montant fournie par celui-ci. Condamne A______ à verser 2'000 fr. à B______ au titre de dépens d'appel.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