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ACJC/704/2023 vom 5. Juni 2023</w:t>
      </w:r>
    </w:p>
    <w:p>
      <w:r>
        <w:t>GE Cour de justice, 2023-06-05, FR</w:t>
      </w:r>
    </w:p>
    <w:p>
      <w:r>
        <w:rPr>
          <w:b/>
        </w:rPr>
        <w:t xml:space="preserve">Quelle: </w:t>
      </w:r>
      <w:r>
        <w:t>https://mcp.opencaselaw.ch/entscheid/ge_gerichte_ACJC_704_2023</w:t>
      </w:r>
    </w:p>
    <w:p>
      <w:r>
        <w:t>FR: GE_GERICHTE ACJC/704/2023 du 5 juin 2023</w:t>
      </w:r>
    </w:p>
    <w:p>
      <w:r>
        <w:t>IT: GE_GERICHTE ACJC/704/2023 del 5 giugno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05.06.2023.</w:t>
      </w:r>
    </w:p>
    <w:p>
      <w:r>
        <w:t>REPUBLIQUE ET</w:t>
      </w:r>
    </w:p>
    <w:p>
      <w:r>
        <w:t>CANTON DE GENEVE POUVOIR JUDICIAIRE C/17818/2021 ACJC/704/2023 ARRÊT DE LA COUR DE JUSTICE Chambre des baux et loyers DU LUNDI 5 JUIN 2023 Entre Monsieur A______, domicilié ______, recourant contre un jugement rendu par le Tribunal des baux et loyers le 19 janvier 2023, comparant en personne, et B______ SA, sise ______, intimée, représentée par [la régie] C______, ______, en les bureaux de laquelle elle fait élection de domicile.</w:t>
      </w:r>
    </w:p>
    <w:p>
      <w:r>
        <w:t>- 2/3 -</w:t>
      </w:r>
    </w:p>
    <w:p>
      <w:r>
        <w:t>C/17818/2021 Attendu, EN FAIT, que, par jugement JTBL/108/2023 du 19 janvier 2023, notifié à A______ le 21 février 2023, le Tribunal des baux et loyer a notamment condamné ce dernier, ainsi que D______, à évacuer immédiatement l'arcade sise au rez-de-chaussée de l'immeuble no. ______ - no. ______ chemin 1______, à E______/GE et a autorisé B______ SA à requérir leur évacuation par la force publique dès l'entrée en force du jugement; Que, le 22 février 2023, A______ a fait savoir à la Cour qu'il ne contestait pas cette décision et ne faisait pas recours contre celle-ci, mais qu'il souhaitait un délai supplémentaire de départ à fin mars 2023; Que B______ SA a indiqué le 27 février 2023 qu'elle acquiesçait à cette requête; Que, le 8 mars 2023, A______ a requis une prolongation de ce délai à fin avril 2023, ce à quoi B______ SA s'est opposée; Que les parties ont été informées le 20 avril 2023 de ce que la cause était gardée à juger; Considérant, EN DROIT, que l'acte déposé par A______, qui n'est pas un recours et n'est pas motivé, est irrecevable (art. 321 CPC); Qu'en tout état de cause, le délai sollicité au 30 avril 2023 est échu, de sorte que sa demande est sans objet; Qu'il ne sera pas prélevé de frais ni alloué de dépens (art. 22 al. 1 LaCC). * * * * *</w:t>
      </w:r>
    </w:p>
    <w:p>
      <w:r>
        <w:t>- 3/3 -</w:t>
      </w:r>
    </w:p>
    <w:p>
      <w:r>
        <w:t>C/17818/2021 PAR CES MOTIFS, La Chambre des baux et loyers : Déclare irrecevable l'acte expédié le 22 février 2023 par A______ suite au jugement JTBL/108/2023 rendu le 19 janvier 2023 par le Tribunal des baux et loyers dans la cause C/17818/2021-26-SE. Dit que la procédure est gratuite. Siégeant : Monsieur Ivo BUETTI, président; Madame Pauline ERARD et Madame Fabienne GEISINGER-MARIETHOZ, juges; Monsieur Jean-Philippe ANTHONIOZ et Monsieur Grégoire CHAMBAZ, juges assesseurs; Madame Maïté VALENTE, greffière.</w:t>
      </w:r>
    </w:p>
    <w:p>
      <w:r>
        <w:t>Le président : Ivo BUETTI</w:t>
      </w:r>
    </w:p>
    <w:p>
      <w:r>
        <w:t>La greffière : Maïté VALENTE</w:t>
      </w:r>
    </w:p>
    <w:p>
      <w:r>
        <w:t>Indication des voies de recours :</w:t>
      </w:r>
    </w:p>
    <w:p>
      <w:r>
        <w:t>Le Tribunal fédéral connaît des recours constitutionnels subsidiaires; la qualité et les autres conditions pour interjeter recours sont déterminées par les art. 113 à 119 et 90 ss LTF. Le recours motivé doit être formé dans les trente jours qui suivent la notification de l'expédition complète de l'arrêt attaqué. L'art. 119 al. 1 LTF prévoit que si une partie forme un recours ordinaire et un recours constitutionnel, elle doit déposer les deux recours dans un seul mémoire.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