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ACJC/704/2019 vom 17. Mai 2019</w:t>
      </w:r>
    </w:p>
    <w:p>
      <w:r>
        <w:t>GE Cour de justice, 2019-05-17, FR</w:t>
      </w:r>
    </w:p>
    <w:p>
      <w:r>
        <w:rPr>
          <w:b/>
        </w:rPr>
        <w:t xml:space="preserve">Quelle: </w:t>
      </w:r>
      <w:r>
        <w:t>https://mcp.opencaselaw.ch/entscheid/ge_gerichte_ACJC_704_2019</w:t>
      </w:r>
    </w:p>
    <w:p>
      <w:r>
        <w:t>FR: GE_GERICHTE ACJC/704/2019 du 17 mai 2019</w:t>
      </w:r>
    </w:p>
    <w:p>
      <w:r>
        <w:t>IT: GE_GERICHTE ACJC/704/2019 del 17 maggio 2019</w:t>
      </w:r>
    </w:p>
    <w:p>
      <w:pPr>
        <w:pStyle w:val="Heading2"/>
      </w:pPr>
      <w:r>
        <w:t>Erwägungen</w:t>
      </w:r>
    </w:p>
    <w:p>
      <w:r>
        <w:rPr>
          <w:b/>
        </w:rPr>
        <w:t>E. 1</w:t>
      </w:r>
    </w:p>
    <w:p>
      <w:r>
        <w:t>Saisie en première instance d'une requête en mesures provisionnelles, la Cour de justice doit en examiner la recevabilité d'office.</w:t>
      </w:r>
    </w:p>
    <w:p>
      <w:r>
        <w:rPr>
          <w:b/>
        </w:rPr>
        <w:t>E. 1.1.1</w:t>
      </w:r>
    </w:p>
    <w:p>
      <w:r>
        <w:t>A teneur de l'art. 5 al. 1 CPC le droit cantonal institue la juridiction</w:t>
      </w:r>
    </w:p>
    <w:p>
      <w:r>
        <w:t>- 7/19 -</w:t>
      </w:r>
    </w:p>
    <w:p>
      <w:r>
        <w:t>C/27801/2018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w:t>
      </w:r>
    </w:p>
    <w:p>
      <w:r>
        <w:t>Selon l'art. 120 al. 1 LOJ, la chambre civile de la Cour de justice exerce les compétences que le CPC attribue à la juridiction cantonale unique.</w:t>
      </w:r>
    </w:p>
    <w:p>
      <w:r>
        <w:rPr>
          <w:b/>
        </w:rPr>
        <w:t>E. 1.1.2</w:t>
      </w:r>
    </w:p>
    <w:p>
      <w:r>
        <w:t>La requérante fonde ses prétentions sur la Loi sur le droit d'auteur (LDA) et sur la Loi fédérale contre la concurrence déloyale (LCD). Les droits d'auteur sont des droits de propriété intellectuelle au sens de l'art. 5 al. 1 CPC, de sorte que la Cour est compétente en instance unique pour traiter de ces questions.</w:t>
      </w:r>
    </w:p>
    <w:p>
      <w:r>
        <w:t>S'agissant des prétentions fondées sur la LCD, la requérante allègue un préjudice de 140'000 fr., de sorte que ses prétentions sont supérieures à 30'000 fr.</w:t>
      </w:r>
    </w:p>
    <w:p>
      <w:r>
        <w:t>La Cour est par conséquent compétente pour examiner ces questions.</w:t>
      </w:r>
    </w:p>
    <w:p>
      <w:r>
        <w:rPr>
          <w:b/>
        </w:rPr>
        <w:t>E. 1.2.1</w:t>
      </w:r>
    </w:p>
    <w:p>
      <w:r>
        <w:t>A teneur de l'art. 36 CPC, les actions fondées sur un acte illicite peuvent être introduites au for du domicile ou du siège du défendeur.</w:t>
      </w:r>
    </w:p>
    <w:p>
      <w:r>
        <w:t>Les actes de concurrence déloyale sont des actes illicites (art. 2 LCD).</w:t>
      </w:r>
    </w:p>
    <w:p>
      <w:r>
        <w:t>Les actions défensives fondées sur la LCD et la LDA, notamment, sont régies par la règle de l’art. 36 CPC (STEINAUER/FOUNTOULAKIS, Droit des personnes physiques et de la protection de l'adulte, 2014, n. 570b).</w:t>
      </w:r>
    </w:p>
    <w:p>
      <w:r>
        <w:t>Sauf disposition contraire de la loi, est impérativement compétent pour ordonner des mesures provisionnelles le tribunal compétent pour statuer sur l'action principale (art. 13 let. a CPC).</w:t>
      </w:r>
    </w:p>
    <w:p>
      <w:r>
        <w:rPr>
          <w:b/>
        </w:rPr>
        <w:t>E. 1.2.2</w:t>
      </w:r>
    </w:p>
    <w:p>
      <w:r>
        <w:t>En l'occurrence, le siège de la citée, société à responsabilité limitée, est à Genève. Par conséquent, le for pour les actions défensives sur mesures provisionnelles que la requérante a initiées contre la citée se trouve à Genève.</w:t>
      </w:r>
    </w:p>
    <w:p>
      <w:r>
        <w:rPr>
          <w:b/>
        </w:rPr>
        <w:t>E. 1.3</w:t>
      </w:r>
    </w:p>
    <w:p>
      <w:r>
        <w:t>La requête est donc recevable.</w:t>
      </w:r>
    </w:p>
    <w:p>
      <w:r>
        <w:rPr>
          <w:b/>
        </w:rPr>
        <w:t>E. 1.4</w:t>
      </w:r>
    </w:p>
    <w:p>
      <w:r>
        <w:t>Les mesures provisionnelles sont soumises à la procédure sommaire (art. 248 let. d CPC), dans le cadre de laquelle, sauf exceptions, la maxime des débats s'applique (art. 55 al. 1 CPC; BOHNET, in Procédure civile suisse, Les grands</w:t>
      </w:r>
    </w:p>
    <w:p>
      <w:r>
        <w:t>- 8/19 -</w:t>
      </w:r>
    </w:p>
    <w:p>
      <w:r>
        <w:t>C/27801/2018 thèmes pour les praticiens, Neuchâtel 2010, ch. 23 et 26, p. 201 et 202). La maxime de disposition est par ailleurs applicable (art. 58 al. 1 CPC).</w:t>
      </w:r>
    </w:p>
    <w:p>
      <w:r>
        <w:rPr>
          <w:b/>
        </w:rPr>
        <w:t>E. 2</w:t>
      </w:r>
    </w:p>
    <w:p>
      <w:r>
        <w:t>La citée conteste la légitimation active de la requérante.</w:t>
      </w:r>
    </w:p>
    <w:p>
      <w:r>
        <w:t>2.1.1 L’adage "nul ne plaide par procureur" a été rattaché au problème de la légitimation active ou passive : seule est légitimée comme partie au procès celle qui possède personnellement un droit ou contre laquelle personnellement un droit est exercé (ACJC/402/2014 du 28 mars 2014 consid. 4.1.2; ACJC/1751/2007 du 11 mai 2007 consid. 2; SJ 1995 p. 212; SJ 1984 p. 579; SJ 1949 p. 432).</w:t>
      </w:r>
    </w:p>
    <w:p>
      <w:r>
        <w:t>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w:t>
      </w:r>
    </w:p>
    <w:p>
      <w:r>
        <w:t>Le succès de toute action en justice suppose que les parties demanderesse et défenderesse aient respectivement qualité pour agir et pour défendre au regard du droit applicable. Le défaut de la qualité pour agir ou pour défendre entraîne le rejet de l'action (ATF 136 III 365 consid. 2.1; 126 III 59 consid. 1a; 125 III 82 consid. 1a).</w:t>
      </w:r>
    </w:p>
    <w:p>
      <w:r>
        <w:t>2.1.2 Selon l'art. 9 al. 1 LCD, est légitimé à agir celui qui, par un acte de concurrence déloyale, subit une atteinte dans sa clientèle, son crédit ou sa réputation professionnelle, ses affaires ou ses intérêts économiques en général, ou celui qui en est menacé.</w:t>
      </w:r>
    </w:p>
    <w:p>
      <w:r>
        <w:t>Les actions en cessation de trouble prévues par l'art. 9 al. 1 et 2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(arrêts du Tribunal fédéral 4A_584/2017, 4A_590/2017 du 9 janvier 2019 consid. 8.1; 4A_39/2011 du 8 août 2011 consid. 13.1, sic! 2012 p. 109; ATF 126 III 239 consid. 1a; FORNAGE, Commentaire Romand, Loi contre la concurrence déloyale, 2017, nos 5 et 6 ad art. 9 LCD; DOMEJ, in UWG, 2018, n. 5 ad art. 9 LCD).</w:t>
      </w:r>
    </w:p>
    <w:p>
      <w:r>
        <w:t>Sont ainsi légitimés à agir les sujets de droit qui participent à la concurrence économique et font valoir leurs propres intérêts économiques (ATF 123 III 395 consid. 2a; RÜETSCHI/ROTH, in Basler Kommentar, Bundesgesetz gegen den unlauteren Wettbewerb, 2013, n. 4 ad art. 9 LCD; PEDRAZZINI/PEDRAZZINI, Unlauterer Wettbewerb UWG, 2ème éd. 2002, n. 16.08).</w:t>
      </w:r>
    </w:p>
    <w:p>
      <w:r>
        <w:t>- 9/19 -</w:t>
      </w:r>
    </w:p>
    <w:p>
      <w:r>
        <w:t>C/27801/2018</w:t>
      </w:r>
    </w:p>
    <w:p>
      <w:r>
        <w:t>2.1.3 A teneur de l'art. 62 LDA, la personne qui subit ou risque de subir une violation de son droit d'auteur ou d'un droit voisin peut demander au juge de l'interdire, de la faire cesser ou d'exiger de la partie défenderesse l'indication de la provenance et de la quantité d'objets confectionnés ou mis en circulation de manière illicite.</w:t>
      </w:r>
    </w:p>
    <w:p>
      <w:r>
        <w:rPr>
          <w:b/>
        </w:rPr>
        <w:t>E. 2.2</w:t>
      </w:r>
    </w:p>
    <w:p>
      <w:r>
        <w:t>En l'espèce, la citée ne conteste pas la légitimation et la qualité pour agir de la requérante, sous l'angle de la LCD. Il résulte en effet de la procédure que la requérante a notamment pour but d'assurer la protection et la mise en œuvre des droits de propriété intellectuelle sur les produits vendus sous la marque C______ et d'octroyer ou de refuser des licences y relatives.</w:t>
      </w:r>
    </w:p>
    <w:p>
      <w:r>
        <w:t>Il n'est pas nécessaire d'examiner si la requérante a également la qualité pour agir, sous l'angle du droit d'auteur, compte tenu des développements qui vont suivre.</w:t>
      </w:r>
    </w:p>
    <w:p>
      <w:r>
        <w:rPr>
          <w:b/>
        </w:rPr>
        <w:t>E. 3</w:t>
      </w:r>
    </w:p>
    <w:p>
      <w:r>
        <w:t>La requérante a déposé des pièces le jour de l'audience, dont un tirage a été remis à la citée au début de l'audience de débats. La citée s'oppose à leur recevabilité.</w:t>
      </w:r>
    </w:p>
    <w:p>
      <w:r>
        <w:rPr>
          <w:b/>
        </w:rPr>
        <w:t>E. 3.1</w:t>
      </w:r>
    </w:p>
    <w:p>
      <w:r>
        <w:t>A teneur de l'art. 252 CPC, la procédure est introduite par une requête, laquelle doit répondre aux réquisits de forme prévus à l'art. 130 CPC.</w:t>
      </w:r>
    </w:p>
    <w:p>
      <w:r>
        <w:t>La preuve est rapportée par titres (art. 254 al. 1 CPC).</w:t>
      </w:r>
    </w:p>
    <w:p>
      <w:r>
        <w:t>Selon la doctrine, les dispositions du CPC relatives à la procédure sommaire ne précisent pas jusqu'à quel moment des pièces peuvent être produites. Lorsque le juge décide de tenir une audience, les pièces doivent être produites au moment de l'audience au plus tard, à tout le moins lorsque le juge ne doit pas établir d'office les faits (COLOMBINI, Code de procédure civile, Condensé de la jurisprudence fédérale et vaudoise, Lausanne, 2018, p. 793; WILLISEGGER, Commentaire bâlois, Code de procédure civile, n. 58 ad art. 229 CPC; KAUFMANN, DIKE ZPO, n. 36 ad art. 252 CPC; SUTTER-SOMM/LÖTSCHER, Commentaire du Code de procédure civile, n. 20 ad art. 257 CPC). Pour sa part, BOHNET considère qu'en raison de l'absence de formalisme de la procédure sommaire, les pièces devraient pouvoir être produites jusqu'à la fin de l'administration des preuves, s'il est tenu une audience (BOHNET, Commentaire Romand, Code de procédure civile, 2ème édition, 2019, n. 9 ad art. 252 CPC et la référence à RSPC 2010 187 retenant que le dépôt de pièces n'est plus possible une fois l'administration des preuves clôturée.</w:t>
      </w:r>
    </w:p>
    <w:p>
      <w:r>
        <w:rPr>
          <w:b/>
        </w:rPr>
        <w:t>E. 3.2</w:t>
      </w:r>
    </w:p>
    <w:p>
      <w:r>
        <w:t>En l'espèce, la Cour de céans a tenu une audience de débats, lors de laquelle un exemplaire des pièces, déposées le matin au greffe par la requérante, a été remis à la citée. Conformément aux principes rappelés ci-avant, et compte tenu du caractère sommaire de la procédure de mesures provisionnelles et de l'absence de tout caractère formaliste, la Cour admettra la recevabilité des pièces nouvelles produites le jour de l'audience.</w:t>
      </w:r>
    </w:p>
    <w:p>
      <w:r>
        <w:t>- 10/19 -</w:t>
      </w:r>
    </w:p>
    <w:p>
      <w:r>
        <w:t>C/27801/2018</w:t>
      </w:r>
    </w:p>
    <w:p>
      <w:r>
        <w:rPr>
          <w:b/>
        </w:rPr>
        <w:t>E. 4.1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En vertu de l'art. 262 let. a CPC, le juge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w:t>
      </w:r>
    </w:p>
    <w:p>
      <w:r>
        <w:t>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dommage difficilement réparable de l'art. 261 al. 1 let. b CPC est principalement de nature factuelle; il concerne tout préjudice, patrimonial ou immatériel, et peut même résulter du seul écoulement du temps pendant le procès (HOHL, Procédure civile, Tome II, 2ème éd., 2010, n. 1763). En matière de concurrence déloyale, il est admis qu'un risque de confusion est en règle générale</w:t>
      </w:r>
    </w:p>
    <w:p>
      <w:r>
        <w:t>- 11/19 -</w:t>
      </w:r>
    </w:p>
    <w:p>
      <w:r>
        <w:t>C/27801/2018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4.2</w:t>
      </w:r>
    </w:p>
    <w:p>
      <w:r>
        <w:t>La LCD ne revêt pas un caractère subsidiaire par rapport aux diverses lois qui protègent la propriété intellectuelle; son but est simplement différent (ATF 129 III 353 consid. 3.3; arrêts du Tribunal fédéral 4A_556/2016 du 19 septembre 2017 consid. 4.5;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Il en va de même face au droit du nom (art. 29 al. 2 CC; KUONEN, Commentaire romand LCD, 2017, n. 2 ad art. 3 al. 1 let. d LCD).</w:t>
      </w:r>
    </w:p>
    <w:p>
      <w:r>
        <w:t>Au sens de la LCD, le comportement de l'auteur s'apprécie de manière objective. Dès lors, tout argument selon lequel l'auteur aurait agi de bonne foi doit être écarté d'emblée (ATF 126 III 198 consid. 2c; 120 II 76 consid. 3a; PICHONNAZ, Commentaire romand LCD, 2017, n. 68 ad art. 2 LCD).</w:t>
      </w:r>
    </w:p>
    <w:p>
      <w:r>
        <w:t>Est déloyal et illicite tout comportement ou pratique commercial qui est trompeur ou qui contrevient de toute autre manière aux règles de la bonne foi et qui influe sur les rapports entre concurrents ou entre fournisseurs et clients (art. 2 LCD).</w:t>
      </w:r>
    </w:p>
    <w:p>
      <w:r>
        <w:t>L'acte de concurrence déloyale doit être objectivement propre à influencer le marché (ATF 136 III 23 consid. 9.1 p. 44). Il n'est toutefois pas nécessaire que l'auteur de l'acte soit lui-même dans un rapport de concurrence avec la ou les entreprises qui subissent les effets de la concurrence déloyale (ATF 126 III 198 consid. 2c/aa p. 202). La règle générale exprimée à l'art. 2 LCD est concrétisée par les cas particuliers énoncés aux art. 3 à 8 LCD, mais elle reste applicable pour les hypothèses que ces dispositions ne viseraient pas (ATF 132 III 414 consid. 3.1; 131 III 384 consid. 3; arrêt du Tribunal fédéral 4A_689/2012 du 24 avril 2013 consid. 2.4).</w:t>
      </w:r>
    </w:p>
    <w:p>
      <w:r>
        <w:t>- 12/19 -</w:t>
      </w:r>
    </w:p>
    <w:p>
      <w:r>
        <w:t>C/27801/2018 L'action en concurrence déloyale vise un défendeur qui a un comportement propre à fausser la concurrence ou à nuire à son caractère loyal (cf. art. 1 et 2 LCD). Elle a pour but de protéger, par exemple, contre une confusion évitable quant à la provenance des produits, contre un risque de confusion, un comportement astucieux ou un rapprochement systématique (ATF 136 III 232 consid. 7.2; 131 III 384 consid. 5.1; arrêt du Tribunal fédéral 4A_556/2016 du 19 septembre 2017 consid. 3.2.1; PICHONNAZ, op. cit., n. 20 ad art. 2 LCD et les références citées).</w:t>
      </w:r>
    </w:p>
    <w:p>
      <w:r>
        <w:t>Le droit de la concurrence déloyale ne contient aucune interdiction générale de copier les prestations d'autrui, car le principe est qu'on peut librement copier (ATF 131 III 384 consid. 5.1, JdT 2005 I 434, p. 442).</w:t>
      </w:r>
    </w:p>
    <w:p>
      <w:r>
        <w:t>Toutefois, selon l'art. 3 al. 1 let. e LCD, agit de manière déloyale notamment celui qui compare, de façon inexacte, fallacieuse, inutilement blessante ou parasitaire sa personne, ses marchandises, ses œuvres, ses prestations ou ses prix avec celles ou ceux d'un concurrent ou qui, par de telles comparaisons, avantage des tiers par rapport à leurs concurrents (let. e).</w:t>
      </w:r>
    </w:p>
    <w:p>
      <w:r>
        <w:t>Tombe notamment sous le coup de cette disposition le fait de s'approprier la réputation d'autrui (ATF 135 III 446 consid. 7.1; arrêt du Tribunal fédéral 4A_689/2012 précité ibidem).</w:t>
      </w:r>
    </w:p>
    <w:p>
      <w:r>
        <w:t>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2014, p. 108 à 111).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JdT 2010 I 632, p. 669).</w:t>
      </w:r>
    </w:p>
    <w:p>
      <w:r>
        <w:t>Il convient d'examiner l'impression d'ensemble qui se dégage de la dénomination, en tenant compte aussi de son graphisme et des caractères employés (ATF 135 III 446 consid. 6.3.4, JdT 2010 I 632, p. 669).</w:t>
      </w:r>
    </w:p>
    <w:p>
      <w:r>
        <w:t>- 13/19 -</w:t>
      </w:r>
    </w:p>
    <w:p>
      <w:r>
        <w:t>C/27801/2018</w:t>
      </w:r>
    </w:p>
    <w:p>
      <w:r>
        <w:t>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w:t>
      </w:r>
    </w:p>
    <w:p>
      <w:r>
        <w:t>Le parasitage peut être ouvert, en ce sens qu'il consiste dans la référence expresse à la prestation d'un concurrent, sans nécessairement faire usage de son nom, mais en recourant à des signes ou traits distinctifs similaires, voire identiques. Le parasitage dissimulé consiste à emprunter des signes distinctifs d'une prestation concurrente, sans référence expresse à celle-ci, mais pour obtenir dans l'esprit du public un effet de rapprochement avec la prestation concurrente (ATF 82 II 346 consid. 3c, JdT 1957 I 561; KUONEN, op. cit., n. 38 ad art. 3 al. 1 let. e LCD).</w:t>
      </w:r>
    </w:p>
    <w:p>
      <w:r>
        <w:t>Les exigences posées quant à la similitude des produits sont moins élevées pour la création d'une association d'idées que celles relatives à la création d'un risque de confusion (ATF 135 III 446 consid. 7.5, JdT 2010 I 632, p. 672).</w:t>
      </w:r>
    </w:p>
    <w:p>
      <w:r>
        <w:t>L'auteur de la comparaison parasitaire favorise un transfert de la réputation ou des qualités de la prestation concurrente sur sa propre prestation dans l'esprit du public (KUONEN, op. cit., n. 37 ad art. 3 al. 1 let. e LCD). La commission d'un acte de concurrence déloyale ne suppose ni mauvaise foi ni faute, mais simplement un acte objectivement contraire aux règles de la bonne foi en affaires (sic! 2009, p. 431 ss).</w:t>
      </w:r>
    </w:p>
    <w:p>
      <w:r>
        <w:rPr>
          <w:b/>
        </w:rPr>
        <w:t>E. 4.3</w:t>
      </w:r>
    </w:p>
    <w:p>
      <w:r>
        <w:t>La fonction distinctive a pour but premier de permettre aux destinataires d'identifier les produits ou les services d'un prestataire déterminé parmi ceux proposés par différents prestataires. Economiquement, la marque est donc un signe pourvoyeur d'informations (GILLIERON, Commentaire Romand, Propriété intellectuelle, 2013, n. 5 ad art. 1 LPM).</w:t>
      </w:r>
    </w:p>
    <w:p>
      <w:r>
        <w:t>La force distinctive, dont dépend la protection d'une marque, est plus restreinte pour les marques faibles que pour les marques fortes. Sont considérées comme fortes les marques qui présentent un degré élevé de fantaisie ou qui sont connues (TF in sic! 2005 p. 123 consid. 2.2; ATF 128 III 447 consid. 2, JdT 2002 I 504; SCHLOSSER/MARADAN, Commentaire Romand, Propriété intellectuelle, 2013, n. 42 et 43 ad art. 3 LPM).</w:t>
      </w:r>
    </w:p>
    <w:p>
      <w:r>
        <w:rPr>
          <w:b/>
        </w:rPr>
        <w:t>E. 4.4</w:t>
      </w:r>
    </w:p>
    <w:p>
      <w:r>
        <w:t>Celui qui, par un acte de concurrence déloyale, subit une atteinte dans sa clientèle, son crédit ou sa réputation professionnelle, ses affaires ou ses intérêts</w:t>
      </w:r>
    </w:p>
    <w:p>
      <w:r>
        <w:t>- 14/19 -</w:t>
      </w:r>
    </w:p>
    <w:p>
      <w:r>
        <w:t>C/27801/2018 économiques en général peut demander au juge de la faire cesser et réclamer des dommages-intérêts conformément au CO (art. 9 al. 1 let. b et al. 3 LCD).</w:t>
      </w:r>
    </w:p>
    <w:p>
      <w:r>
        <w:rPr>
          <w:b/>
        </w:rPr>
        <w:t>E. 4.5</w:t>
      </w:r>
    </w:p>
    <w:p>
      <w:r>
        <w:t>Dans le présent cas, il est constant que la marque C______ bénéficie d'une longue expérience dans le domaine de l'industrie horlogère et qu'elle est connue du public. Il n'est également pas contesté que le modèle de montre F______ est commercialisé depuis 2004, dont les caractéristiques spécifiques résident dans ______.</w:t>
      </w:r>
    </w:p>
    <w:p>
      <w:r>
        <w:t>Ledit modèle dispose également ______.</w:t>
      </w:r>
    </w:p>
    <w:p>
      <w:r>
        <w:t>Il résulte de la procédure que la citée commercialise depuis décembre 2018 les modèles de montres 4______ et 5______, tant par l'entremise de son site internet que de différentes boutiques, situées tant en Suisse qu'à l'étranger.</w:t>
      </w:r>
    </w:p>
    <w:p>
      <w:r>
        <w:t>La requérante soutient que les modèles susmentionnés imitent ses deux modèles F______/6______ et F______/7______, par la reprise de tous les éléments caractéristiques du modèle F______, à savoir un ______. De telles imitations constituent à son sens un comportement parasitant, donc déloyal au regard de la concurrence déloyale.</w:t>
      </w:r>
    </w:p>
    <w:p>
      <w:r>
        <w:t>Pour sa part, la citée a fait valoir que l'imitation d'un produit ne bénéficiant d'aucune protection conférée par une loi de propriété intellectuelle ne constituait pas en soi un acte de concurrence déloyale, sauf circonstances particulières non réalisées en l'espèce. Par ailleurs, lesdits modèles revêtaient la marque "I______", laquelle était dotée d'une force distinctive.</w:t>
      </w:r>
    </w:p>
    <w:p>
      <w:r>
        <w:t>Comme rappelé supra, le droit de la concurrence déloyale ne contient aucune interdiction générale de copier les prestations d'autrui, sous réserve d'une concurrence parasitaire. Il convient dès lors d'examiner, sous l'angle de la vraisemblance, si les deux modèles de montre de la requérante présentent une force distinctive, justifiant sa protection.</w:t>
      </w:r>
    </w:p>
    <w:p>
      <w:r>
        <w:t>Concernant le modèle F______/7______ (2______), la Cour retient que le modèle 4______ proposé par la citée a repris la majeure partie des éléments caractéristiques de la première nommée et son apparence est très similaire. En effet, la forme et la taille du boîtier, ainsi que le pont protège-couronne à levier sont identiques; ______ comme celui de la montre F______.</w:t>
      </w:r>
    </w:p>
    <w:p>
      <w:r>
        <w:t>Les chiffres ______ ont été repris, seule la couleur ______ de ceux-ci de la montre F______ étant modifiée en ______. La calligraphie des chiffres ______ des secondes est identique.</w:t>
      </w:r>
    </w:p>
    <w:p>
      <w:r>
        <w:t>Le boîtier et le fond sont ______, comme ceux du modèle F______.</w:t>
      </w:r>
    </w:p>
    <w:p>
      <w:r>
        <w:t>- 15/19 -</w:t>
      </w:r>
    </w:p>
    <w:p>
      <w:r>
        <w:t>C/27801/2018</w:t>
      </w:r>
    </w:p>
    <w:p>
      <w:r>
        <w:t>Relativement au modèle F______/6______ (3______), les mêmes considérations prévalent s'agissant de la forme, de la taille et de la couleur du boîtier, du pont protège-couronne à levier, de la lunette ______. Diffèrent les deux chiffres à 6h et à 12h qui sont des chiffres ______ alors qu'ils sont représentés par un ______ et ______ sur ce modèle F______.</w:t>
      </w:r>
    </w:p>
    <w:p>
      <w:r>
        <w:t>Ainsi, la requérante a rendu vraisemblable que les deux modèles 4______/5______ de la citée sont, en examinant l'impression générale qu'elles reflètent, sont similaires à ses deux modèles F______. La taille des boîtiers de ces dernières et leur pont protège-couronne étaient à l'époque des créations originales et elles se sont depuis lors imposées, depuis de nombreuses années, auprès du public. Il en va de même de ______.</w:t>
      </w:r>
    </w:p>
    <w:p>
      <w:r>
        <w:t>La requérante a également rendu vraisemblable que ces copies sont serviles, dès lors que la citée n'a, à première vue, ajouté aucun élément spécifique, et que dites copies suscitent auprès du public une association d'idées avec ses deux modèles F______ et en conséquence un transfert d'image.</w:t>
      </w:r>
    </w:p>
    <w:p>
      <w:r>
        <w:t>Il existe ainsi un risque tant direct qu'indirect pour le consommateur de penser que les deux modèles de montres en cause font partie de deux séries de produits fabriqués par la même entreprise ou par des entreprises économiquement liées. Certes, les montres de l'intimée comportent la marque de cette dernière. Toutefois, cette seule mention ne permet pas de lever la similitude des deux produits, dont l'apparence est quasiment identique.</w:t>
      </w:r>
    </w:p>
    <w:p>
      <w:r>
        <w:t>Par conséquent, sous l'angle de la vraisemblance, la Cour retient que la requérante a rendu vraisemblable que le comportement adopté par la citée, soit la copie des deux modèles de montre F______, constitue une concurrence parasitaire, contraire tant à l'art. 3 al. 1 let. e qu'à l'art. 2 LCD.</w:t>
      </w:r>
    </w:p>
    <w:p>
      <w:r>
        <w:t>Il n'est dès lors pas nécessaire d'examiner si le comportement de la citée tombe également sous le coup des dispositions de la LDA.</w:t>
      </w:r>
    </w:p>
    <w:p>
      <w:r>
        <w:t>En ce qui concerne les autres conditions posées à l'art. 261 CPC, la citée a confirmé la commercialisation des deux montres en cause, ce qui suscite auprès du public une association d'idée avec les deux montres F______ de la requérante. Cette dernière est ainsi confrontée à une concurrence parasitaire, ce qui suffit à admettre, sous l'angle de la vraisemblance, un dommage difficilement réparable. Ce préjudice perdure, la citée continuant de vendre les montres 4______/5______ tant sur son site que dans différents magasins. La condition de l'urgence est ainsi également remplie. Enfin, les mesures sollicitées par la requérante sont proportionnées et ne vont pas au-delà de ce qui est nécessaire pour sauvegarder ses intérêts.</w:t>
      </w:r>
    </w:p>
    <w:p>
      <w:r>
        <w:t>- 16/19 -</w:t>
      </w:r>
    </w:p>
    <w:p>
      <w:r>
        <w:t>C/27801/2018</w:t>
      </w:r>
    </w:p>
    <w:p>
      <w:r>
        <w:t>La requérante a par conséquent rendu vraisemblable l'ensemble des conditions cumulatives nécessaires au prononcé de mesures provisionnelles.</w:t>
      </w:r>
    </w:p>
    <w:p>
      <w:r>
        <w:rPr>
          <w:b/>
        </w:rPr>
        <w:t>E. 4.6</w:t>
      </w:r>
    </w:p>
    <w:p>
      <w:r>
        <w:t>Par conséquent, il se justifie de faire droit aux mesures requises, en ce sens qu'il sera fait interdiction à la citée de mettre en circulation, sous quelque forme que ce soit, en particulier par la mise en vente ou en location, de manière directe ou indirecte, de livrer et de promouvoir, notamment par de la publicité en ligne ou hors ligne, des montres "I______" et il lui sera donné ordre de retirer de son site www.J______.com et les pages y afférentes toute référence auxdites montres et mises en vente au travers des pages https://www.J______.com/4______/ et https://www.J______.com/5______/, ainsi que toute autre page internet ou compte réseau social faisant la promotion et/ou figurent les montres "I______".</w:t>
      </w:r>
    </w:p>
    <w:p>
      <w:r>
        <w:rPr>
          <w:b/>
        </w:rPr>
        <w:t>E. 5</w:t>
      </w:r>
    </w:p>
    <w:p>
      <w:r>
        <w:t>La requérante conclut au prononcé d'une disposition d'exécution, soit le prononcé de mesures provisionnelles sous la menace de la peine prévue à l'art. 292 CP.</w:t>
      </w:r>
    </w:p>
    <w:p>
      <w:r>
        <w:rPr>
          <w:b/>
        </w:rPr>
        <w:t>E. 5.1</w:t>
      </w:r>
    </w:p>
    <w:p>
      <w:r>
        <w:t>Le tribunal qui a ordonné les mesures provisionnelles prend également les dispositions d'exécution qui s'imposent (art. 267 CPC).</w:t>
      </w:r>
    </w:p>
    <w:p>
      <w:r>
        <w:t>Il peut le faire directement dans la décision relative aux mesures provisionnelles. Si la mesure provisionnelle consiste en une interdiction (art. 262 let. a CPC) ou en un ordre de cesser un état de fait illicite (art. 262 let. b CPC), le tribunal assortira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(BOHNET, in Code de procédure civile commenté, op. cit., n. 3, 13 et 14 ad art. 267 CPC).</w:t>
      </w:r>
    </w:p>
    <w:p>
      <w:r>
        <w:t>Les mesures doivent répondre au principe de la proportionnalité. Ainsi, seules les mesures qui sont nécessaires à l'exécution des mesures provisionnelles prononcées peuvent être ordonnées (BOHNET, in Code de procédure civile commenté, op. cit., n. 11 ad art. 267 CPC).</w:t>
      </w:r>
    </w:p>
    <w:p>
      <w:r>
        <w:rPr>
          <w:b/>
        </w:rPr>
        <w:t>E. 5.2</w:t>
      </w:r>
    </w:p>
    <w:p>
      <w:r>
        <w:t>A teneur de l'art. 292 CP, "celui qui ne se sera pas conformé à une décision à lui signifiée, sous la menace de la peine prévue au présent article, par une autorité ou un fonctionnaire compétents sera puni d'une amende". Cette disposition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(ATF 105 IV 249 [consid. 1]). Pour que l'infraction soit réalisée, il faut que l'insoumission soit intentionnelle : il ne suffit pas que la décision ait valablement été notifiée, il faut encore que l'intéressé ait effectivement eu</w:t>
      </w:r>
    </w:p>
    <w:p>
      <w:r>
        <w:t>- 17/19 -</w:t>
      </w:r>
    </w:p>
    <w:p>
      <w:r>
        <w:t>C/27801/2018 connaissance de l'injonction et de ses conséquences pénales (ATF 119 IV 238 consid. 2a et 2c).</w:t>
      </w:r>
    </w:p>
    <w:p>
      <w:r>
        <w:rPr>
          <w:b/>
        </w:rPr>
        <w:t>E. 5.3</w:t>
      </w:r>
    </w:p>
    <w:p>
      <w:r>
        <w:t>Dans la mesure où la citée n'a pas répondu aux injonctions de la requérante et qu'elle ne s'est pas engagée à cesser de commercialiser les deux montres en cause, il se justifie d'assortir les mesures ordonnées de la menace de la peine prévue à l'art. 292 CP.</w:t>
      </w:r>
    </w:p>
    <w:p>
      <w:r>
        <w:rPr>
          <w:b/>
        </w:rPr>
        <w:t>E. 5.4</w:t>
      </w:r>
    </w:p>
    <w:p>
      <w:r>
        <w:t>Dès lors que l'action au fond n'est pas encore pendante, la Cour impartira à la requérante un délai de 60 jours à compter de la réception du présent arrêt pour le dépôt de sa demande, sous peine de caducité des mesures ordonnées (art. 263 CPC).</w:t>
      </w:r>
    </w:p>
    <w:p>
      <w:r>
        <w:rPr>
          <w:b/>
        </w:rPr>
        <w:t>E. 6</w:t>
      </w:r>
    </w:p>
    <w:p>
      <w:r>
        <w:t>Les frais de la procédure, qui comprennent également les émoluments forfaitaires de la décision sur mesures superprovisionnelles, seront arrêtés à 6'000 fr. (art. 26 RTFMC) et mis à la charge de la citée, qui succombe intégralement (art. 106 al. 1 CPC). Ils seront compensés par l'avance de frais du même montant fournie par la requérante, acquise à l'Etat de Genève (art. 111 al.1 CPC). La citée sera en conséquence condamnée à verser 6'000 fr. à la requérante à titre de remboursement de l'avance de frais (art. 111 al. 2 CPC).</w:t>
      </w:r>
    </w:p>
    <w:p>
      <w:r>
        <w:t>La citée sera par ailleurs condamnée à verser à la requérante la somme de 10'000 fr., débours et TVA compris, à titre de dépens (art. 106 al. 1 CPC; art. 85 et 88 RTFMC; art. 25 et 26 LaCC). * * * * *</w:t>
      </w:r>
    </w:p>
    <w:p>
      <w:r>
        <w:t>- 18/19 -</w:t>
      </w:r>
    </w:p>
    <w:p>
      <w:r>
        <w:t>C/27801/2018 PAR CES MOTIFS, La Chambre civile : Statuant sur mesures provisionnelles : A la forme : Déclare recevable la requête de mesures provisionnelles formée le 29 novembre 2018 par A______ SA à l'encontre de B______ SARL. Au fond : Fait interdiction à B______ SARL, sous la menace de la peine prévue à l'art. 292 CP, de mettre en circulation, sous quelque forme que ce soit, en particulier par la mise en vente ou en location, de manière directe ou indirecte, de livrer et de promouvoir, notamment par de la publicité en ligne ou hors ligne, les montres "I______". Ordonne à B______ SARL, sous la menace de la peine prévue à l'art. 292 CP, de retirer de son site www.J______.com et les pages y afférentes toute référence auxdites montres "I______" et mises en vente au travers des pages https://www.J______.com/4______/ et https://www.J______.com/5______/, ainsi que toute autre page internet ou compte réseau social faisant la promotion et/ou figurent les montres "I______". Dit que l'art. 292 CP est ainsi libellé : "Celui qui ne se sera pas conformé à une décision à lui signifiée, sous la menace de la peine prévue au présent article, par une autorité ou un fonctionnaire compétents, sera puni de l'amende". Impartit à A______ SA un délai de 60 jours, à compter de la réception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6'000 fr., les met à la charge de B______ SARL, compensés avec l'avance de frais fournie, acquise à l'Etat de Genève. Condamne B______ SARL à verser 6'000 fr. à ce titre à A______ SA. Condamne B______ SARL à verser 10'000 fr. à A______ SA à titre de dépens.</w:t>
      </w:r>
    </w:p>
    <w:p>
      <w:r>
        <w:t>- 19/19 -</w:t>
      </w:r>
    </w:p>
    <w:p>
      <w:r>
        <w:t>C/27801/2018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