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ACJC/703/2023 vom 5. Juni 2023</w:t>
      </w:r>
    </w:p>
    <w:p>
      <w:r>
        <w:t>GE Cour de justice, 2023-06-05, FR</w:t>
      </w:r>
    </w:p>
    <w:p>
      <w:r>
        <w:rPr>
          <w:b/>
        </w:rPr>
        <w:t xml:space="preserve">Quelle: </w:t>
      </w:r>
      <w:r>
        <w:t>https://mcp.opencaselaw.ch/entscheid/ge_gerichte_ACJC_703_2023</w:t>
      </w:r>
    </w:p>
    <w:p>
      <w:r>
        <w:t>FR: GE_GERICHTE ACJC/703/2023 du 5 juin 2023</w:t>
      </w:r>
    </w:p>
    <w:p>
      <w:r>
        <w:t>IT: GE_GERICHTE ACJC/703/2023 del 5 giugno 2023</w:t>
      </w:r>
    </w:p>
    <w:p>
      <w:pPr>
        <w:pStyle w:val="Heading2"/>
      </w:pPr>
      <w:r>
        <w:t>Erwägungen</w:t>
      </w:r>
    </w:p>
    <w:p>
      <w:r>
        <w:rPr>
          <w:b/>
        </w:rPr>
        <w:t>E. 1.1</w:t>
      </w:r>
    </w:p>
    <w:p>
      <w:r>
        <w:t>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(ATF 139 III 478 consid. 6.3 et consid. 7.3 non publié).</w:t>
      </w:r>
    </w:p>
    <w:p>
      <w:r>
        <w:t>- 4/8 -</w:t>
      </w:r>
    </w:p>
    <w:p>
      <w:r>
        <w:t>C/17043/2021</w:t>
      </w:r>
    </w:p>
    <w:p>
      <w:r>
        <w:rPr>
          <w:b/>
        </w:rPr>
        <w:t>E. 1.2</w:t>
      </w:r>
    </w:p>
    <w:p>
      <w:r>
        <w:t>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1.3</w:t>
      </w:r>
    </w:p>
    <w:p>
      <w:r>
        <w:t>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(arrêt du Tribunal fédéral 5A_385/2019 du 8 mai 2020 consid. 4.1.3, publié in FamPra.ch 2020 p. 843 et SJ 2020 I p. 345). En application de ces principes, l'autorité de recours traite le recours irrecevable comme un recours d'un autre type s'il en remplit les conditions. Lorsque l'erreur est le résultat d'un choix délibéré d'une partie représentée par un avocat, on retient qu'il n'y a pas de formalisme excessif à refuser la conversion de l'acte en raison de l'erreur grossière (arrêt du Tribunal fédéral 5A_221/2018 du 4 juin 2018 consid. 3.3.2, publié in RSPC 2018 p. 408 n° 2148).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w:t>
      </w:r>
    </w:p>
    <w:p>
      <w:r>
        <w:rPr>
          <w:b/>
        </w:rPr>
        <w:t>E. 1.4</w:t>
      </w:r>
    </w:p>
    <w:p>
      <w:r>
        <w:t>Les conclusions doivent être formulées de sorte à pouvoir être reprises sans modification dans le dispositif (ATF 137 III 617 consid. 4.3 et 4.5).</w:t>
      </w:r>
    </w:p>
    <w:p>
      <w:r>
        <w:t>- 5/8 -</w:t>
      </w:r>
    </w:p>
    <w:p>
      <w:r>
        <w:t>C/17043/2021</w:t>
      </w:r>
    </w:p>
    <w:p>
      <w:r>
        <w:rPr>
          <w:b/>
        </w:rPr>
        <w:t>E. 1.5</w:t>
      </w:r>
    </w:p>
    <w:p>
      <w:r>
        <w:t>En l'espèce, au vu du montant du loyer de l'objet loué, et s'agissant d'une procédure en contestation d'un congé, la valeur litigieuse est supérieure à 10'000 fr., de sorte que la voie de l'appel est ouverte, comme le mentionne au demeurant correctement la décision attaquée. La Cour est saisie d'un recours au sens de l'art. 319 CPC, sans que l'acte n'expose pour quelle raison cette voie de droit a été privilégiée par sa signataire, avocate. Les explications ultérieurement fournies, dans le cadre de la réplique, selon lesquelles la valeur litigieuse n'importerait pas dans le cadre d'une procédure de conciliation, outre qu'elles suscitent pour le moins la perplexité ne serait-ce que sous l'angle des art. 210 et 212 CPC qui font expresse mention de cette notion juridique, ne permettent pas d'écarter que le recours ait été formé délibérément ou par erreur, en lieu et place de l'appel. Les conditions de la conversion ne sont donc pas réunies. A cela s'ajoute qu'aux termes de sa réplique, le recourant n'a pris aucune conclusion qui permettrait de statuer sur le fond, ayant inexplicablement abandonné sa conclusion principale initiale en admission de la requête de restitution de délai. Au vu de ce qui précède, le recours n'est pas recevable.</w:t>
      </w:r>
    </w:p>
    <w:p>
      <w:r>
        <w:rPr>
          <w:b/>
        </w:rPr>
        <w:t>E. 2</w:t>
      </w:r>
    </w:p>
    <w:p>
      <w:r>
        <w:t>Il sera encore observé qu'en tout état, à supposer que l'acte dont la Cour est saisie ait été recevable, il n'aurait pas été fondé. En effet,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4A_617/2020 du 21 janvier 2021 consid. 3.1). Le respect des délais - et partant la tenue de l'agenda - fait partie des devoirs élémentaires de l'avocat, lequel est censé non seulement instruire mais également contrôler la manière dont ses collaborateurs tiennent l'agenda. De manière générale, une défaillance dans l'organisation interne de l'avocat (problèmes informatiques, auxiliaire en charge du recours, absence du mandataire principal)</w:t>
      </w:r>
    </w:p>
    <w:p>
      <w:r>
        <w:t>- 6/8 -</w:t>
      </w:r>
    </w:p>
    <w:p>
      <w:r>
        <w:t>C/17043/2021 ne constitue pas un empêchement non fautif justifiant une restitution du délai (ATF 143 I 284 consid. 1.3). Une partie doit se laisser imputer la faute de son représentant (ATF 119 II 86 consid. 2; arrêt du Tribunal fédéral 4A_52/2019 consid. 3.1). Il importe donc peu que le retard soit imputable au plaideur ou à son avocat (arrêt précité, ibidem). En l'occurrence, contrairement à ce que soutient le recourant, le manquement intervenu, à savoir reporter ou faire reporter erronément dans un agenda d'étude d'avocat une heure de convocation à une audience, est constitutif d'une faute qui n'est pas légère, et qui exclut toute restitution de délai. Cette faute, commise par l'avocate constituée ou ses collaborateurs qu'elle devait instruire et surveiller, est imputable au recourant, même s'il apparaissait qu'il n'a pas personnellement commis d'erreur.</w:t>
      </w:r>
    </w:p>
    <w:p>
      <w:r>
        <w:rPr>
          <w:b/>
        </w:rPr>
        <w:t>E. 3</w:t>
      </w:r>
    </w:p>
    <w:p>
      <w:r>
        <w:t>A teneur de l'art. 22 al. 1 LaCC, il n'est pas prélevé de frais dans les causes soumises à la juridiction des baux et loyers (ATF 139 III 182 consid. 2.6). * * * * *</w:t>
      </w:r>
    </w:p>
    <w:p>
      <w:r>
        <w:t>- 7/8 -</w:t>
      </w:r>
    </w:p>
    <w:p>
      <w:r>
        <w:t>C/17043/2021</w:t>
      </w:r>
    </w:p>
    <w:p>
      <w:r>
        <w:t>PAR CES MOTIFS, La Chambre des baux et loyers : Déclare irrecevable le recours formé le 5 octobre 2022 par A______ contre la décision JCBL/20/2022 rendue le 25 juillet 2022 par la Commission de conciliation en matière de baux et loyers dans la cause C/17043/2021.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C/17043/2021</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