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ACJC/702/2023 vom 5. Juni 2023</w:t>
      </w:r>
    </w:p>
    <w:p>
      <w:r>
        <w:t>GE Cour de justice, 2023-06-05, FR</w:t>
      </w:r>
    </w:p>
    <w:p>
      <w:r>
        <w:rPr>
          <w:b/>
        </w:rPr>
        <w:t xml:space="preserve">Quelle: </w:t>
      </w:r>
      <w:r>
        <w:t>https://mcp.opencaselaw.ch/entscheid/ge_gerichte_ACJC_702_2023</w:t>
      </w:r>
    </w:p>
    <w:p>
      <w:r>
        <w:t>FR: GE_GERICHTE ACJC/702/2023 du 5 juin 2023</w:t>
      </w:r>
    </w:p>
    <w:p>
      <w:r>
        <w:t>IT: GE_GERICHTE ACJC/702/2023 del 5 giugno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l'occurrence.</w:t>
      </w:r>
    </w:p>
    <w:p>
      <w:r>
        <w:t>L'appel a été interjeté dans le délai (art. 130, 131, 311 al. 1 CPC).</w:t>
      </w:r>
    </w:p>
    <w:p>
      <w:r>
        <w:rPr>
          <w:b/>
        </w:rPr>
        <w:t>E. 1.2</w:t>
      </w:r>
    </w:p>
    <w:p>
      <w:r>
        <w:t>L'appel doit en outre être motivé (art. 308 al. 1 CPC).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 voir aussi ATF 142 III 413 consid. 2.2.4).</w:t>
      </w:r>
    </w:p>
    <w:p>
      <w:r>
        <w:rPr>
          <w:b/>
        </w:rPr>
        <w:t>E. 1.3</w:t>
      </w:r>
    </w:p>
    <w:p>
      <w:r>
        <w:t>L'appel peut être formé pour violation du droit (art. 310 let. a CPC) et constatation inexacte des faits (art. 310 let. b CPC). L'instance d'appel dispose ainsi d'un plein pouvoir d'examen de la cause en fait et en droit; en particulier, le</w:t>
      </w:r>
    </w:p>
    <w:p>
      <w:r>
        <w:t>- 5/7 -</w:t>
      </w:r>
    </w:p>
    <w:p>
      <w:r>
        <w:t>C/15203/2021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En l'espèce, l'appelant affirme reprocher au Tribunal une mauvaise appréciation des faits et la violation du droit, sans concrétisation de ces griefs. La partie en droit de l'acte soumis à la Cour comporte, en effet, un exposé d'événements relatifs aux relations internes de l'appelant et des autres signataires du bail à loyer conclu en 2016, assorti d'appréciations personnelles et d'accusations de mauvaise foi de sa partie adverse et de partialité des juges, sans critique de l'état de faits retenu par le Tribunal. Un unique passage des considérants du jugement attaqué est visé en tant que tel, soit celui dans lequel les premiers juges ont retenu que la quotité des indemnités réclamées, leur fondement et la durée prise en compte pour leur calcul n'avaient pas été remises en cause par l'appelant. Ce dernier prétend avoir au contraire contesté ces points, sans toutefois chercher à démontrer qu'il aurait, au-delà de la simple pétition de principe, réfuté son engagement solidaire pris lors du contrat de 2016, la réalité des créances de l'intimée et les montants énoncés dans le compte locataire produit par l'intimée, pièces pertinentes à l'appui. Enfin, l'appelant soutient qu'il était "indispensable" de donner suite à sa requête d'audition de D______, sans exposer quel élément pertinent aurait pu être ainsi démontré en lien avec ce qui précède.</w:t>
      </w:r>
    </w:p>
    <w:p>
      <w:r>
        <w:t>Dès lors, la motivation de l'appel ne correspond pas aux exigences jurisprudentielles rappelées ci-dessus. Partant, l'appel est irrecevable.</w:t>
      </w:r>
    </w:p>
    <w:p>
      <w:r>
        <w:rPr>
          <w:b/>
        </w:rPr>
        <w:t>E. 2</w:t>
      </w:r>
    </w:p>
    <w:p>
      <w:r>
        <w:t>A teneur de l'art. 22 al. 1 LaCC, il n'est pas prélevé de frais dans les causes soumises à la juridiction des baux et loyers (ATF 139 III 182 consid. 2.6). * * * * *</w:t>
      </w:r>
    </w:p>
    <w:p>
      <w:r>
        <w:t>- 6/7 -</w:t>
      </w:r>
    </w:p>
    <w:p>
      <w:r>
        <w:t>C/15203/2021</w:t>
      </w:r>
    </w:p>
    <w:p>
      <w:r>
        <w:t>PAR CES MOTIFS, La Chambre des baux et loyers : Déclare irrecevable l'appel interjeté le 9 novembre 2022 par A______ contre le jugement JTBL/754/2022 rendu le 11 octobre 2022 par le Tribunal des baux et loyers dans la cause C/15203/2021.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- 7/7 -</w:t>
      </w:r>
    </w:p>
    <w:p>
      <w:r>
        <w:t>C/15203/2021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