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ACJC/701/2024 vom 3. Juni 2024</w:t>
      </w:r>
    </w:p>
    <w:p>
      <w:r>
        <w:t>GE Cour de justice, 2024-06-03, FR</w:t>
      </w:r>
    </w:p>
    <w:p>
      <w:r>
        <w:rPr>
          <w:b/>
        </w:rPr>
        <w:t xml:space="preserve">Quelle: </w:t>
      </w:r>
      <w:r>
        <w:t>https://mcp.opencaselaw.ch/entscheid/ge_gerichte_ACJC_701_2024</w:t>
      </w:r>
    </w:p>
    <w:p>
      <w:r>
        <w:t>FR: GE_GERICHTE ACJC/701/2024 du 3 juin 2024</w:t>
      </w:r>
    </w:p>
    <w:p>
      <w:r>
        <w:t>IT: GE_GERICHTE ACJC/701/2024 del 3 giugno 2024</w:t>
      </w:r>
    </w:p>
    <w:p>
      <w:pPr>
        <w:pStyle w:val="Heading2"/>
      </w:pPr>
      <w:r>
        <w:t>Volltext</w:t>
      </w:r>
    </w:p>
    <w:p>
      <w:r>
        <w:t>Le présent arrêt est communiqué aux parties par plis recommandés du 3 juin 2024.</w:t>
      </w:r>
    </w:p>
    <w:p>
      <w:r>
        <w:t>REPUBLIQUE ET</w:t>
      </w:r>
    </w:p>
    <w:p>
      <w:r>
        <w:t>CANTON DE GENEVE POUVOIR JUDICIAIRE C/27965/2023 ACJC/701/2024 ARRÊT DE LA COUR DE JUSTICE Chambre civile DU VENDREDI 31 MAI 2024</w:t>
      </w:r>
    </w:p>
    <w:p>
      <w:r>
        <w:t>Entre Monsieur A______, domicilié ______, appelant d'un jugement rendu par la 9ème Chambre du Tribunal de première instance de ce canton le 2 mai 2024, représenté par Me Laïla BATOU, avocate, BOLIVAR BATOU &amp; BOBILLIER, rue des Pâquis 35, 1201 Genève, et Madame B______, domiciliée ______, intimée, représentée par Me Imed ABDELLI, avocat, rue du Mont-Blanc 9, 1201 Genève.</w:t>
      </w:r>
    </w:p>
    <w:p>
      <w:r>
        <w:t>- 2/4 -</w:t>
      </w:r>
    </w:p>
    <w:p>
      <w:r>
        <w:t>C/27965/2023</w:t>
      </w:r>
    </w:p>
    <w:p>
      <w:r>
        <w:t>Vu, EN FAIT, le jugement JTPI/5422/2024 du 2 mai 2024 par lequel le Tribunal de première instance, statuant au fond sur mesures protectrices de l’union conjugale, a attribué à B______ la garde des enfants C______ et D______ (chiffre 4 du dispositif), attribué à B______ la jouissance exclusive du logement de la famille, ainsi que du mobilier le garnissant (ch. 5), imparti à A______ un délai de 40 jours à compter de la notification du jugement pour quitter le logement de la famille (ch. 6), déclaré irrecevable le chef de conclusion de B______ tendant à ce qu’il soit ordonné que A______ soit évacué par la force publique en cas d’inexécution de son obligation de quitter le logement de la famille dans le délai imparti (ch. 7), ordonné à A______ de remettre à B______ les clés (porte et boîte aux lettres) du logement de la famille (ch. 8), attribué à A______ un droit de visite devant s’exercer, aussi longtemps qu’il ne disposera pas d’un logement permettant d’héberger les enfants, à raison d’un jour durant le week-end de 10 heures à 18 heures tous les deux week-ends et, sitôt qu’il disposera d’un tel logement, à raison d’un week-end sur deux du vendredi 18h00 au dimanche 18h00 (ch. 9), condamné A______ à payer, à titre de contribution à l’entretien de l’enfant C______, allocations familiales non comprises, par mois et d’avance, 174 fr. 50 dès l’échéance d’un délai de quatre mois à compter de la notification du jugement (ch. 10), condamné A______ à payer, à titre de contribution à l’entretien de l’enfant D______, allocations familiales non comprises, par mois et d’avance, 174 fr. 50 dès l’échéance d’un délai de quatre mois à compter de la notification du jugement (ch. 11), dit que le montant manquant à l’enfant C______ pour assurer son entretien convenable est de 1'068 fr. par mois durant une période de quatre mois à compter de la notification du jugement et de 893 fr. 50 par mois à compter de la fin de ladite période (ch. 12), dit que le montant manquant à l’enfant D______ pour assurer son entretien convenable est de 1'068 fr. par mois durant une période de quatre mois à compter de la notification du jugement et de 893 fr. 50 par mois à compter de la fin de ladite période (ch. 13), prononcé la séparation de biens (ch. 14), mis les frais judiciaires, arrêtés à 1'000 fr., à la charge des parties à raison d’une moitié chacune, dépens compensés, les parties étant exonérées du paiement des frais judiciaires et étant déboutées de toutes autres conclusions (ch. 15 à 18);</w:t>
      </w:r>
    </w:p>
    <w:p>
      <w:r>
        <w:t>Attendu que le 16 mai 2024, A______ a formé appel contre ce jugement; Qu’il a allégué que les parties avaient trouvé un accord sur certains points et de ce fait a conclu à l’annulation des chiffres 5, 6 et 8 du dispositif du jugement attaqué et à ce qu’il soit donné acte aux parties de ce que B______ avait quitté le logement conjugal et ne souhaitait pas y retourner, la jouissance exclusive de ce même logement conjugal devant être attribuée à l’appelant;</w:t>
      </w:r>
    </w:p>
    <w:p>
      <w:r>
        <w:t>- 3/4 -</w:t>
      </w:r>
    </w:p>
    <w:p>
      <w:r>
        <w:t>C/27965/2023 Que ce dernier a également conclu à l’annulation des chiffres 10 à 13 du dispositif du jugement attaqué et à être dispensé de toute contribution d’entretien en faveur de ses enfants; Que préalablement, il a conclu à l’octroi de l’effet suspensif; Que sur ce point, il a soutenu craindre, à défaut d’octroi d’un tel effet, de se retrouver sans logement, ce qui aurait des conséquences graves et limiterait ses relations personnelles avec ses enfants; que les chiffres 5 à 8 du dispositif du jugement attaqué étaient fondés sur une situation de fait qui n’existait plus, compte tenu du déménagement de son épouse; Que par courrier du 28 mai 2024, le conseil de B______ a confirmé que celle-ci avait déménagé dans un autre logement et n’occupait par conséquent plus l’ancien appartement conjugal;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Qu’en l’espèce, il ressort de la procédure que l’intimée, à laquelle la jouissance du logement familial a été attribuée par le jugement attaqué, a en réalité quitté celui- ci et s’est installée dans un autre appartement; Que l’octroi de l’effet suspensif aux chiffres 5, 6 et 8 du dispositif du jugement attaqué ne lui causera par conséquent aucun préjudice; Qu’au vu de ce qui précède, il sera fait droit à la requête d’octroi de l’effet suspensif s’agissant des trois chiffres du jugement attaqué susmentionnés; Que la requête sera rejetée pour le surplus, faute de motivations; Qu’il sera statué sur les frais de la présente décision avec l’arrêt au fond. * * * * *</w:t>
      </w:r>
    </w:p>
    <w:p>
      <w:r>
        <w:t>- 4/4 -</w:t>
      </w:r>
    </w:p>
    <w:p>
      <w:r>
        <w:t>C/27965/2023 PAR CES MOTIFS, La Chambre civile : Statuant sur requête de suspension du caractère exécutoire du jugement entrepris : Admet la requête de A______ tendant à suspendre le caractère exécutoire des chiffres 5, 6 et 8 du dispositif du jugement JTPI/5422/2024 rendu le 2 mai 2024 par le Tribunal de première instance dans la cause C/27965/2023. Rejette la requête pour le surplus. Dit qu'il sera statué sur les frais et dépens de la présente décision avec la décision sur le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