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ACJC/701/2023 vom 5. Juni 2023</w:t>
      </w:r>
    </w:p>
    <w:p>
      <w:r>
        <w:t>GE Cour de justice, 2023-06-05, FR</w:t>
      </w:r>
    </w:p>
    <w:p>
      <w:r>
        <w:rPr>
          <w:b/>
        </w:rPr>
        <w:t xml:space="preserve">Quelle: </w:t>
      </w:r>
      <w:r>
        <w:t>https://mcp.opencaselaw.ch/entscheid/ge_gerichte_ACJC_701_2023</w:t>
      </w:r>
    </w:p>
    <w:p>
      <w:r>
        <w:t>FR: GE_GERICHTE ACJC/701/2023 du 5 juin 2023</w:t>
      </w:r>
    </w:p>
    <w:p>
      <w:r>
        <w:t>IT: GE_GERICHTE ACJC/701/2023 del 5 giugno 2023</w:t>
      </w:r>
    </w:p>
    <w:p>
      <w:pPr>
        <w:pStyle w:val="Heading2"/>
      </w:pPr>
      <w:r>
        <w:t>Erwägungen</w:t>
      </w:r>
    </w:p>
    <w:p>
      <w:r>
        <w:rPr>
          <w:b/>
        </w:rPr>
        <w:t>E. 1</w:t>
      </w:r>
    </w:p>
    <w:p>
      <w:r>
        <w:t>let. e CO (ATF 137 III 389 consid. 1.1; 136 III 196 consid. 1.1; arrêt du Tribunal fédéral 4A_388/2016 du 15 mars 2017 consid. 1).</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w:t>
      </w:r>
    </w:p>
    <w:p>
      <w:r>
        <w:rPr>
          <w:b/>
        </w:rPr>
        <w:t>E. 1.2</w:t>
      </w:r>
    </w:p>
    <w:p>
      <w:r>
        <w:t>En l'espèce, la valeur litigieuse s'élève à 42'408 fr. ((12'756 fr. + 1'380 fr.) x</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- 9/16 -</w:t>
      </w:r>
    </w:p>
    <w:p>
      <w:r>
        <w:t>C/16701/2020 2. L'appelante a produit à l'appui de son appel, comme pièces nouvelles, deux photographies de l'étiquette figurant sur la boîte aux lettres et sur la sonnette de l'ancien appartement des époux M______/T______.</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Commentaire Romand, Code de procédure civile 2ème éd., 2019, n. 6 ad art. 317 CPC). 2.2 En l'espèce, les deux photographies susmentionnées sont recevables du fait que les étiquettes de la boîte aux lettres et de la sonnette, objet de ces photographies, ont été apposées après la mise en délibération de la cause par le Tribunal. Les faits que ces deux pièces contiennent seront repris dans la procédure s'ils sont utiles pour la résolution du litige.</w:t>
      </w:r>
    </w:p>
    <w:p>
      <w:r>
        <w:rPr>
          <w:b/>
        </w:rPr>
        <w:t>E. 3</w:t>
      </w:r>
    </w:p>
    <w:p>
      <w:r>
        <w:t>La locataire fait grief aux premiers juges d'avoir violé son droit d'être entendue, ayant motivé d'une manière laconique leur décision au sujet de son offre de preuves. A l'issue de l'audience du 1er février 2022, elle avait persisté dans l'intégralité de cette offre de preuves, consistant en l'audition de l'intimée et de témoins et en la production de diverses pièces, qui aurait éclairé le Tribunal, selon elle, sur le but réel des congés donnés dans l'immeuble. L'intimée devrait être interrogée s'agissant de l'appartement du 1er étage de l'immeuble et le motif de son congé, ses relations avec le reste de sa famille, sa marge de manoeuvre quant à l'attribution d'appartements dans les autres immeubles, les autres résiliations des baux de l'immeuble et son état de santé. Les mêmes questions devraient être posées au mari de l'intimée pour vérifier la concordance des réponses et J______ devrait être entendu au sujet du congé de l'appartement qui lui avait été attribué.</w:t>
      </w:r>
    </w:p>
    <w:p>
      <w:r>
        <w:rPr>
          <w:b/>
        </w:rPr>
        <w:t>E. 3.1</w:t>
      </w:r>
    </w:p>
    <w:p>
      <w:r>
        <w:t>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w:t>
      </w:r>
    </w:p>
    <w:p>
      <w:r>
        <w:t>- 10/16 -</w:t>
      </w:r>
    </w:p>
    <w:p>
      <w:r>
        <w:t>C/16701/2020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3.2</w:t>
      </w:r>
    </w:p>
    <w:p>
      <w:r>
        <w:t>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Selon le Tribunal fédéral, lorsque la recourante est en mesure d'attaquer le raisonnement de l'arrêt attaqué, la violation de son droit d'être entendue sous l'angle d'une motivation lacunaire doit être exclue (arrêt du Tribunal fédéral 5A_134/2013 du 23 mai 2013 consid. 4.2).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Code de procédure civile commenté, 2ème éd. 2019, n. 18 ad art. 239 CPC).</w:t>
      </w:r>
    </w:p>
    <w:p>
      <w:r>
        <w:rPr>
          <w:b/>
        </w:rPr>
        <w:t>E. 3.3</w:t>
      </w:r>
    </w:p>
    <w:p>
      <w:r>
        <w:t>En l'espèce, dans leur jugement, les premiers juges ont rappelé que l'intimée avait sollicité sa dispense de comparaître en raison de son âge, du risque d'infection au coronavirus et d'examens médicaux à effectuer en vue d'une opération.</w:t>
      </w:r>
    </w:p>
    <w:p>
      <w:r>
        <w:t>Sur la base des mesures d'instruction effectuées, soit l'interrogatoire de l'appelante, l'audition de témoins et les pièces d'ores et déjà produites, ils</w:t>
      </w:r>
    </w:p>
    <w:p>
      <w:r>
        <w:t>- 11/16 -</w:t>
      </w:r>
    </w:p>
    <w:p>
      <w:r>
        <w:t>C/16701/2020 s'estimaient suffisamment renseignés pour établir les faits pertinents à la résolution du litige, sans l'audition de l'intimée.</w:t>
      </w:r>
    </w:p>
    <w:p>
      <w:r>
        <w:t>La Cour fait sienne la motivation du jugement entrepris sur ce point.</w:t>
      </w:r>
    </w:p>
    <w:p>
      <w:r>
        <w:t>Dans ses plaidoiries écrites du 11 avril 2022 devant le Tribunal, l'appelante s'est contentée de requérir l'audition de l'intimée, sans préciser sur quoi porterait cette audition, ni dans quels buts. Pour le surplus, elle s'est bornée à persister dans ses conclusions prises dans ses précédentes écritures, qui offraient en preuve uniquement la comparution des parties et la production de l'état locatif de l'immeuble, lequel a été versé à la procédure.</w:t>
      </w:r>
    </w:p>
    <w:p>
      <w:r>
        <w:t>Les pièces et les interrogatoires sollicités par l'appelante viseraient à démontrer pour certains des faits périphériques et celle-ci n'a pas amené suffisamment d'éléments permettant de faire penser que ces faits seraient pertinents à la résolution du litige et de nature à ébranler la conviction acquise sur la base des éléments déjà recueillis.</w:t>
      </w:r>
    </w:p>
    <w:p>
      <w:r>
        <w:t>Enfin, dans son appel, l'appelante n'a pas conclu formellement à une nouvelle audition ou à la production de pièces complémentaires, se bornant à requérir le renvoi de la cause au Tribunal pour instruction complémentaire dans le sens des considérants.</w:t>
      </w:r>
    </w:p>
    <w:p>
      <w:r>
        <w:t>En tout état, l'appelante a été en mesure d'attaquer le raisonnement du jugement querellé, de sorte que son droit d'être entendue sous l'angle d'une motivation lacunaire n'a pas été violé.</w:t>
      </w:r>
    </w:p>
    <w:p>
      <w:r>
        <w:t>Au vu de ce qui précède, le grief de l'appelante sera rejeté.</w:t>
      </w:r>
    </w:p>
    <w:p>
      <w:r>
        <w:rPr>
          <w:b/>
        </w:rPr>
        <w:t>E. 4</w:t>
      </w:r>
    </w:p>
    <w:p>
      <w:r>
        <w:t>La locataire fait grief au Tribunal d'avoir constaté inexactement les faits au sujet de la situation financière de H______ et de sa mère, du besoin d'assistance de la bailleresse et de son mari, des locataires actuels vivant dans l'appartement destiné à J______ et sur les intentions de ce dernier, des autres immeubles appartenant aux membres de la famille et des loyers des appartements situés aux 1er et au 8ème étages de l'immeuble. Elle reproche également au Tribunal d'avoir violé l'art. 271 al. 1 CO en validant les congés au vu des contradictions de la bailleresse, de la disproportion manifeste des intérêts en présence et du caractère non concret, peu sérieux et spéculatif des trois résiliations intervenues dans l'immeuble, dont celle du cas d'espèce.</w:t>
      </w:r>
    </w:p>
    <w:p>
      <w:r>
        <w:rPr>
          <w:b/>
        </w:rPr>
        <w:t>E. 4.1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w:t>
      </w:r>
    </w:p>
    <w:p>
      <w:r>
        <w:t>- 12/16 -</w:t>
      </w:r>
    </w:p>
    <w:p>
      <w:r>
        <w:t>C/16701/2020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140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w:t>
      </w:r>
    </w:p>
    <w:p>
      <w:r>
        <w:rPr>
          <w:b/>
        </w:rPr>
        <w:t>E. 4.1.1</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w:t>
      </w:r>
    </w:p>
    <w:p>
      <w:r>
        <w:t>- 13/16 -</w:t>
      </w:r>
    </w:p>
    <w:p>
      <w:r>
        <w:t>C/16701/2020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w:t>
      </w:r>
    </w:p>
    <w:p>
      <w:r>
        <w:rPr>
          <w:b/>
        </w:rPr>
        <w:t>E. 4.1.2</w:t>
      </w:r>
    </w:p>
    <w:p>
      <w:r>
        <w:t>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138 III 59 consid. 2.1). Il s'agira ensuite de vérifier si ce motif est réel, ou s'il n'est qu'un prétexte, ce qui relève des constatations de fait (ATF 136 III 190 consid. 2; 131 III 535 consid. 4.3; 130 III 699 consid. 4.1; arrêt du Tribunal fédéral 4A_19/2016 du 2 mai 2017 consid. 2.3).</w:t>
      </w:r>
    </w:p>
    <w:p>
      <w:r>
        <w:rPr>
          <w:b/>
        </w:rPr>
        <w:t>E. 4.1.3</w:t>
      </w:r>
    </w:p>
    <w:p>
      <w:r>
        <w:t>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consid. 2; ACJC/790/2017 du 26 juin 2017 consid. 3.1).</w:t>
      </w:r>
    </w:p>
    <w:p>
      <w:r>
        <w:rPr>
          <w:b/>
        </w:rPr>
        <w:t>E. 4.1.4</w:t>
      </w:r>
    </w:p>
    <w:p>
      <w:r>
        <w:t>C'est au destinataire du congé de démontrer que celui-ci contrevient aux règles de la bonne foi; la partie qui résilie a seulement le devoir de contribuer</w:t>
      </w:r>
    </w:p>
    <w:p>
      <w:r>
        <w:t>- 14/16 -</w:t>
      </w:r>
    </w:p>
    <w:p>
      <w:r>
        <w:t>C/16701/2020 loyalement à la manifestation de la vérité en fournissant tous les éléments en sa possession nécessaires à la vérification du motif invoqué par elle (ATF 120 II 105 consid. 3c; arrêt du Tribunal fédéral 4A_472/2007 du 11 mars 2008 consid. 2.1).</w:t>
      </w:r>
    </w:p>
    <w:p>
      <w:r>
        <w:rPr>
          <w:b/>
        </w:rPr>
        <w:t>E. 4.2</w:t>
      </w:r>
    </w:p>
    <w:p>
      <w:r>
        <w:t>En l'espèce, les premiers juges ont retenu que le motif des congés de l'appartement et de l'emplacement de parking résidait dans le besoin propre de la bailleresse de pouvoir mettre l'appartement à disposition de sa petite-fille, H______. Ce motif, explicité dans la procédure, n'a pas varié et a été confirmé par cette dernière. A l'instar du Tribunal, la Cour retiendra qu'aucun élément, notamment parmi ceux allégués par l'appelante, ne permet de retenir que le motif donné constituerait un prétexte. Les trois congés simultanés ont été justifiés par le fait qu'une fille et deux petits-enfants avaient besoin d'être logés. En intégrant l'appartement concerné, H______ a déclaré vouloir prendre son indépendance à partir de son entrée à l'Université et a donné des détails suffisants sur sa situation financière pour payer le loyer. Elle a ajouté vouloir habiter dans l'immeuble, car elle y avait déjà vécu durant environ une dizaine d'années. Elle a justifié les motifs pour lesquels elle s'intéressait à l'appartement de l'appelante, à savoir à un étage élevé sur le même palier que son cousin avec un loyer raisonnable, et les raisons pour lesquelles elle n'avait pas repris l'appartement du 1er étage, soit la libération prématurée de celui-ci, ni l'appartement de sa mère, dont le loyer était trop élevé, étant précisé que sa mère souhaitait le conserver pour elle-même. L'intimée et ses filles ont confirmé qu'il s'agissait du seul immeuble dont elles étaient les uniques propriétaires, ce qui explique également le choix de cet immeuble en particulier. Les différentes allégations de l'appelante, dont certaines portent sur des faits périphériques non pertinents dans le cas d'espèce ou n'ont pas été démontrées, ne permettent pas de retenir que H______ n'envisagerait pas réellement d'habiter l'appartement litigieux et ce, quand bien même son besoin n'est ni immédiat, ni urgent. Cela est corroboré par le fait qu'ayant eu la volonté d'habiter l'immeuble, G______ a renoncé au congé lorsqu'elle a décidé de rester vivre avec ses parents. S'agissant de l'appartement visé par J______, la procédure a établi qu'il était libre le jour de l'audience du 1er février 2022 et qu'il a été sous-loué depuis par celui-ci, dès lors qu'il devait terminer sa formation, dégager des revenus suffisants avant de pouvoir l'intégrer et qu'il vivait actuellement chez son amie. La Cour relèvera que,</w:t>
      </w:r>
    </w:p>
    <w:p>
      <w:r>
        <w:t>- 15/16 -</w:t>
      </w:r>
    </w:p>
    <w:p>
      <w:r>
        <w:t>C/16701/2020 dans le cadre de l'analyse de la validité du congé, il faut se placer au moment de sa notification. Conformément à la jurisprudence précitée, le fait que les différents membres de la famille C______/G______/H______/J______/N______ soient propriétaires de plusieurs immeubles, n'implique pas de devoir considérer le congé comme contraire aux règles de la bonne foi.</w:t>
      </w:r>
    </w:p>
    <w:p>
      <w:r>
        <w:t>Contrairement à ce que soutient l'appelante, seule une disproportion grossière des intérêts en présence, qui n'est pas réalisée en l'espèce, permettrait de retenir un congé contraire à la bonne foi. Une pesée des intérêts ne doit pas intervenir au stade de l'analyse de la validité de la résiliation, mais lors de celle de l'éventuelle prolongation du contrat. Les conséquences pénibles du congé pour l'appelante au regard de sa santé et de sa situation financière ne permettent donc pas de conclure à un congé contraire aux règles de la bonne foi.</w:t>
      </w:r>
    </w:p>
    <w:p>
      <w:r>
        <w:t>Partant, la Cour confirmera le jugement querellé.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C/16701/2020 PAR CES MOTIFS, La Chambre des baux et loyers : A la forme : Déclare recevable l'appel interjeté le 17 octobre 2022 par A______ contre le jugement JTBL/661/2022 rendu le 15 septembre 2022 par le Tribunal des baux et loyers dans la cause C/16701/2020-25-OSB.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6</w:t>
      </w:r>
    </w:p>
    <w:p>
      <w:r>
        <w:t>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déjà cité consid. 3.2; 4A_484/2012 du 28 février 2013 précité consid. 2.3.1), sous réserve d'une éventuelle disproportion grossière des intérêts en présence, ce qui est par exemple le cas lorsque des intérêts purement financiers sont en disproportion manifeste avec un problème humain particulièrement pénible (ACJC/701/2014 du 16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