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ACJC/701/2020 vom 4. Juni 2020</w:t>
      </w:r>
    </w:p>
    <w:p>
      <w:r>
        <w:t>GE Cour de justice, 2020-06-04, FR</w:t>
      </w:r>
    </w:p>
    <w:p>
      <w:r>
        <w:rPr>
          <w:b/>
        </w:rPr>
        <w:t xml:space="preserve">Quelle: </w:t>
      </w:r>
      <w:r>
        <w:t>https://mcp.opencaselaw.ch/entscheid/ge_gerichte_ACJC_701_2020</w:t>
      </w:r>
    </w:p>
    <w:p>
      <w:r>
        <w:t>FR: GE_GERICHTE ACJC/701/2020 du 4 juin 2020</w:t>
      </w:r>
    </w:p>
    <w:p>
      <w:r>
        <w:t>IT: GE_GERICHTE ACJC/701/2020 del 4 giugno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l'appelante conclut notamment au versement d'une somme supérieure à 10'000 fr. au titre de la liquidation du régime matrimonial des parties, de sorte que la voie de l'appel est ouverte.</w:t>
      </w:r>
    </w:p>
    <w:p>
      <w:r>
        <w:rPr>
          <w:b/>
        </w:rPr>
        <w:t>E. 1.2</w:t>
      </w:r>
    </w:p>
    <w:p>
      <w:r>
        <w:t>Formé dans le délai et selon la forme prescrits par la loi, l'appel est recevable (art. 130, 131, 142 al. 1 et 3, 145 al. 1 let. a et 311 al. 1 CPC).</w:t>
      </w:r>
    </w:p>
    <w:p>
      <w:r>
        <w:rPr>
          <w:b/>
        </w:rPr>
        <w:t>E. 2.1</w:t>
      </w:r>
    </w:p>
    <w:p>
      <w:r>
        <w:t>La Cour revoit la cause en fait et en droit avec un plein pouvoir d'examen (art. 310 CPC), mais uniquement dans la limite des griefs motivés qui sont formulés (ATF 142 III 413 consid. 2.2.4 et les références citées).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maxime des débats et le principe de disposition sont applicables en ce qui concerne la fixation de la contribution d'entretien due entre époux (art. 55 al. 1, 58 al. 1 et 277 al. 1 CPC; arrêt du Tribunal fédéral 5A_592/2018 du 13 février 2019 consid. 2.1) et la liquidation du régime matrimonial (art. 55 al. 1, 58 al. 1 et 277 al. 1 CPC).</w:t>
      </w:r>
    </w:p>
    <w:p>
      <w:r>
        <w:rPr>
          <w:b/>
        </w:rPr>
        <w:t>E. 2.2</w:t>
      </w:r>
    </w:p>
    <w:p>
      <w:r>
        <w:t>Les conclusions nouvelles de l'appelante en appel sont recevables dès lors qu'elle a réduit ses conclusions en paiement d'une contribution d'entretien de 6'000 fr. par mois jusqu'au mois de novembre 2027 à 780 fr. par mois jusqu'au mois de novembre 2027 et qu'une restriction des conclusions ne constitue pas une modification de la demande au sens de l'art. 317 al. 2 CPC, mais un retrait partiel de cette demande admissible en tout temps (arrêt du Tribunal fédéral 5A_184/2013 du 26 avril 2013 consid. 3.2).</w:t>
      </w:r>
    </w:p>
    <w:p>
      <w:r>
        <w:t>- 13/23 -</w:t>
      </w:r>
    </w:p>
    <w:p>
      <w:r>
        <w:t>C/25363/2017</w:t>
      </w:r>
    </w:p>
    <w:p>
      <w:r>
        <w:rPr>
          <w:b/>
        </w:rPr>
        <w:t>E. 2.3</w:t>
      </w:r>
    </w:p>
    <w:p>
      <w:r>
        <w:t>En application du principe de la force de chose jugée partielle instituée par l'art. 315 al. 1 CPC, la Cour ne peut revoir d'office que les dispositions du jugement entrepris qui sont remises en cause en appel. En conséquence, les chiffres 1, 3, 5 à 9 du dispositif du jugement querellé, non remis en cause par les parties, sont entrés en force de chose jugée. Les chiffres 10 et 11 relatifs aux frais pourront encore être revus d'office en cas d'annulation de tout ou partie du jugement entrepris dans le cadre du présent appel (art. 318 al. 3 CPC).</w:t>
      </w:r>
    </w:p>
    <w:p>
      <w:r>
        <w:rPr>
          <w:b/>
        </w:rPr>
        <w:t>E. 3</w:t>
      </w:r>
    </w:p>
    <w:p>
      <w:r>
        <w:t>L'appelante reproche au Tribunal d'avoir déclaré les pièces 50 à 53 produites par l'intimé le 26 octobre 2018 recevables.</w:t>
      </w:r>
    </w:p>
    <w:p>
      <w:r>
        <w:rPr>
          <w:b/>
        </w:rPr>
        <w:t>E. 3.1</w:t>
      </w:r>
    </w:p>
    <w:p>
      <w:r>
        <w:t>Les faits et moyens de preuve nouveaux ne sont admis aux débats principaux que s'ils sont invoqués sans retard et qu'ils remplissent l'une des conditions suivantes :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(art. 229 al. 1 CPC). Le fait que les pseudo nova n’aient pas pu être invoqués antérieurement, même en faisant preuve de la diligence requise, implique qu’aucune négligence ne puisse être reprochée au plaideur concerné dans le fardeau de l’allégation et dans la charge de la preuve (fardeau subjectif de la preuve), ce qui implique aussi que le plaideur concerné ait entrepris les recherches que l’on pouvait attendre de lui (arrêt du Tribunal fédéral 4A_259/2019 du 10 octobre 2019 consid. 1.3).</w:t>
      </w:r>
    </w:p>
    <w:p>
      <w:r>
        <w:rPr>
          <w:b/>
        </w:rPr>
        <w:t>E. 3.2</w:t>
      </w:r>
    </w:p>
    <w:p>
      <w:r>
        <w:t>En l'espèce, l'appelante se limite à répéter que les pièces 50 à 53 produites par l'intimé sont irrecevables dès lors qu'elles ont été versées à la procédure après l'ouverture des débats principaux, intervenue le 28 mai 2018. Elle n'explique pas en quoi le jugement serait critiquable, en tant qu'il retient que l'intimé n'avait pas la possibilité de produire les pièces litigieuses antérieurement au 26 octobre 2018 puis qu'il ignorait que l'appelante allait conclure au partage de la somme de 2'661'921 fr. dans le cadre de ses premières conclusions chiffrées en liquidation du régime matrimonial du 28 septembre 2019. Le grief formé par l'appelante est donc irrecevable faute de motivation suffisante. On relèvera pour le surplus que les actes d'instruction antérieurs à cet échange ont porté exclusivement sur la question de la contribution d'entretien et non sur la liquidation du régime matrimonial, de sorte que sur ce dernier point la phase des allégations n'était pas close puisque les parties n'avaient pas encore pris de conclusions chiffrées. Par conséquent, c'est à bon droit que le Tribunal a retenu que les pièces déposées par l'intimé avec son mémoire de réponse sur liquidation du régime matrimonial étaient recevables.</w:t>
      </w:r>
    </w:p>
    <w:p>
      <w:r>
        <w:t>- 14/23 -</w:t>
      </w:r>
    </w:p>
    <w:p>
      <w:r>
        <w:t>C/25363/2017</w:t>
      </w:r>
    </w:p>
    <w:p>
      <w:r>
        <w:rPr>
          <w:b/>
        </w:rPr>
        <w:t>E. 4</w:t>
      </w:r>
    </w:p>
    <w:p>
      <w:r>
        <w:t>L'appelante reproche au Tribunal d'avoir procédé à une simple soustraction des avoirs de l'intimé entre le jour du mariage et celui du prononcé de la séparation de biens, sans tenir compte de la fluctuation de sa fortune pendant le mariage, ni du fait que l'intimé n'avait pas prouvé qu'il ne s'agissait pas d'acquêts.</w:t>
      </w:r>
    </w:p>
    <w:p>
      <w:r>
        <w:rPr>
          <w:b/>
        </w:rPr>
        <w:t>E. 4.1</w:t>
      </w:r>
    </w:p>
    <w:p>
      <w:r>
        <w:t>Le régime matrimonial de la participation aux acquêts comprend les acquêts et les biens propres de chaque époux (art. 196 CC). Ceux-ci sont disjoints dans leur composition au jour de la dissolution du régime (art. 207 al. 1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Chaque époux a l'administration, la jouissance et la disposition de ses acquêts et de ses biens propres dans les limites de la loi (art. 201 al. 1 CC). L'époux propriétaire n'a pas d'obligation de conserver la substance de ses biens (ATF 118 II 27 consid. 4b in JdT 1994 I p. 535 ss; arrêt du Tribunal fédéral 5A_714/2009 du 16 décembre 2009 consid. 4.4). Tout bien d'un époux est présumé acquêt, sauf preuve du contraire (art. 200 al. 3 CC). Les biens sont estimés à leur valeur vénale. Cette valeur est, s'agissant des acquêts, en principe arrêtée au moment de la liquidation du régime matrimonial (art. 211 et 214 al. 1 CC). Une exception existe toutefois pour les comptes en banque dont l'évaluation de leur valeur doit s'effectuer au jour de la dissolution du régime matrimonial (ATF 136 III 209 consid. 5.2; 137 III 337 consid. 2). Chaque époux a droit à la moitié du bénéfice de l'autre (art. 215 al. 1 CC).</w:t>
      </w:r>
    </w:p>
    <w:p>
      <w:r>
        <w:rPr>
          <w:b/>
        </w:rPr>
        <w:t>E. 4.2</w:t>
      </w:r>
    </w:p>
    <w:p>
      <w:r>
        <w:t>En l'espèce, il est acquis que les parties, qui n'ont pas conclu de contrat de mariage, étaient soumises au régime légal de la participation aux acquêts (art. 181 CC), jusqu'au prononcé de la séparation de biens, intervenue par jugement du 8 mars 2016. L'intimé a prouvé que les avoirs du compte 23______ provenaient d'une avance d'héritage. S'agissant de biens propres, ils n'ont donc pas à être partagés.</w:t>
      </w:r>
    </w:p>
    <w:p>
      <w:r>
        <w:t>- 15/23 -</w:t>
      </w:r>
    </w:p>
    <w:p>
      <w:r>
        <w:t>C/25363/2017 Le compte 9______ que l'intimé possédait au jour du mariage et qui présentait des avoirs de 700'000 fr. a été clos en 2009. La même année, les avoirs de 110'000 fr. présents sur le compte 7______ en 2008 ont diminué de 50'000 fr. L'intimé n'a pas documenté le transfert de ces sommes sur ses autres comptes bancaires mais le fait que le compte 3______ ait été crédité de 600'000 fr. et le compte 15______ de 160'000 fr. la même année est suffisamment probant pour retenir que l'ensemble des sommes présentes sur ces deux comptes au 31 décembre 2009 étaient des biens propres de l'intimé. Durant le mariage, l'intimé a consommé une partie de ses biens propres. Par la suite les avoirs de l'intimé ont été reconstitués sans que celui-ci ne prouve que cette reconstitution aurait été faite au moyen de biens propres, étant rappelé que les revenus de biens propres sont des acquêts. Par conséquent, seule la partie des avoirs qui n'a jamais été dépensée par l'intimé peut être considérée comme le solde de ses biens propres. Hormis le compte 15______ pour lequel il a été admis qu'il a été alimenté par les biens propres de l'intimé en 2009, ce dernier n'a pas prouvé que les comptes ouverts après le mariage (17______, 19______, 21______ et compte auprès de la O______) constituaient des remplois de biens propres. Ils constituent donc des acquêts dans leur intégralité. Il ressort des registres publics que les sociétés Q______ Sàrl (anciennement R______ Sàrl) (CH-24______) et F______ SA (anciennement P______ Sàrl) (CH-25______) sont des sociétés distinctes dont l'appelant possède respectivement des parts/actions pour 4'300 fr. et 19'900 fr. selon ses déclarations d'impôts. Il n'a pas prouvé qu'il les détenait avant le mariage ou les avoirs acquis avec ses biens propres. Par conséquent, il s'agit d'acquêts. Compte tenu de ce qui précède, les acquêts de l'intimé au 8 mars 2016, ou au 31 décembre 2015, faute pour l'intimé d'avoir produit les documents relatifs à ces comptes au 8 mars 2016, étaient de : - compte 3______ : 38'435 fr. (524'559 fr. au 8 mars 2016 – 486'124 fr. de biens propres au 31 décembre 2014) - compte 5______ : 22'411 fr. (22'742 fr. au 8 mars 2016 – 331 fr. de biens propres au 31 décembre 2012) - compte 7______ : 11 fr. (10'032 fr. au 31 décembre 2015 – 10'021 fr. de biens propres au 31 décembre 2014) - compte 15______ : 3'840 fr. (110'472 fr. au 31 décembre 2015 – 106'632 fr. de biens propres au 31 décembre 2012) - compte 11______ : 16'578 fr. (17'526 fr. au 8 mars 2016 – 948 fr. de biens propres au 11 mars 2014) - compte 13______ (en euros) : 3 fr. (4 euros, soit environ 4 fr. au 8 mars 2016 – 1 fr. au 31 décembre 2014) - compte auprès de la REGIE N______ : 9'470 fr. (9'826 fr. au 31 décembre 2015 – 356 fr. au 31 décembre 2013)</w:t>
      </w:r>
    </w:p>
    <w:p>
      <w:r>
        <w:t>- 16/23 -</w:t>
      </w:r>
    </w:p>
    <w:p>
      <w:r>
        <w:t>C/25363/2017 - compte 17______ : 5'209 fr. au 31 décembre 2015 - compte 19______ : 75'533 fr. au 31 décembre 2015 - compte 21______ : 48'242 fr. au 31 décembre 2015 - compte auprès de la [banque] O______ : 43'638 fr. au 31 décembre 2015 - 43'000 actions de P______ SARL : 4'300 fr. au 31 décembre 2015 - 10'000 actions de F______ SA : 19'900 fr. au 31 décembre 2015 soit une somme totale de 287'570 fr. Il n'est pas contesté en appel que le bénéfice des acquêts de l'appelante est de 2'823 fr. Par conséquent, le chiffre 2 du dispositif du jugement sera annulé et l'intimé sera condamné à verser à l'appelante la somme de 142'373 fr. 50 [(287'570 fr. + 2'823 fr.) / 2 – 2'823 fr.] au titre de la liquidation du régime matrimonial.</w:t>
      </w:r>
    </w:p>
    <w:p>
      <w:r>
        <w:rPr>
          <w:b/>
        </w:rPr>
        <w:t>E. 5</w:t>
      </w:r>
    </w:p>
    <w:p>
      <w:r>
        <w:t>L'appelante reproche au Tribunal de lui avoir dénié le droit à une contribution d'entretien post-divorce. 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5A_352/2011 du 17 février 2012 consid. 7.2.2.1 non publié aux ATF 138 III 150). Lorsque le mariage a eu un impact décisif sur la vie de l'époux créancier et qu'il a concrètement influencé sa situation financière, celui-ci a en principe droit au maintien du niveau de vie mené durant le mariage, alors que, dans le cas contraire, il convient de s'en tenir à la situation qui était la sienne avant le mariage (ATF 137 III 102 consid. 4.1.2; 135 III 59 consid. 4.1, arrêt du Tribunal fédéral 5A_172/2018 du 23 août 2018 consid. 3.2.1). On admet que le mariage a eu une influence concrète sur les conditions d'existence de l'époux lorsqu'il a créé pour lui - par quelque motif que ce soit - une position de confiance qui ne saurait être déçue même en cas de divorce (arrêt du Tribunal fédéral 5A_172/2018 du 23 août 2018 consid. 3.2.1). Si le mariage a duré au moins dix ans - période à calculer jusqu'à la date de la séparation des</w:t>
      </w:r>
    </w:p>
    <w:p>
      <w:r>
        <w:t>- 17/23 -</w:t>
      </w:r>
    </w:p>
    <w:p>
      <w:r>
        <w:t>C/25363/2017 parties (ATF 132 III 598 consid. 9.2) -, il est présumé avoir eu une influence concrète; dans ce cas, on admet que la confiance dans la continuation du mariage et dans le maintien de la répartition des rôles convenue librement par les parties mérite objectivement d'être protégée (ATF 135 III 59 consid. 4.1; arrêt du Tribunal fédéral 5A_172/2018 du 23 août 2018 consid. 3.2.1). Il n'existe toutefois aucune présomption lorsque le mariage a duré entre cinq et dix ans; il faut alors examiner de cas en cas si les circonstances de fait permettent de déduire une influence concrète du mariage sur la situation de l'époux crédirentier (arrêt du Tribunal fédéral 5A_446/2012 du 20 décembre 2012 consid. 3.2.3.2 et les références). Il convient d'inclure la vie commune préalable dans la notion de "durée du mariage" lorsque pendant cette période la situation d'une des parties a déjà été concrètement influencée, en particulier par la prise en charge de l'éducation des enfants (ATF 132 III 598 consid. 9.2). 5.1.2 Un mariage ayant eu un impact concret sur la vie de l'époux créancier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Il incombe au créancier d'entretien de préciser les dépenses nécessaires à son train de vie et de rendre celles-ci vraisemblables (ATF 115 II 424 consid. 3; arrêt du Tribunal fédéral 5A_137/2017 du 29 juin 2017 consid. 4.1). 5.1.3 Pour fixer la contribution d'entretien, le juge doit en principe tenir compte du revenu effectif des parties, tant le débiteur d'entretien que le créancier pouvant néanmoins se voir imputer un revenu hypothétique supérieur (ATF 137 III 102 consid. 4.2.2.2; 128 III 4 consid. 4a).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Lorsque le juge entend tenir compte d'un revenu hypothétique, il doit examiner successivement deux conditions. Il doit d'abord déterminer si l'on peut raisonnablement exiger d'une personne qu'elle exerce une activité lucrative ou</w:t>
      </w:r>
    </w:p>
    <w:p>
      <w:r>
        <w:t>- 18/23 -</w:t>
      </w:r>
    </w:p>
    <w:p>
      <w:r>
        <w:t>C/25363/2017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5.1.4 De manière générale l'art. 125 CC laisse une large place au pouvoir d'appréciation du juge fondé sur l'ensemble des circonstances du cas d'espèce dans l'octroi et la fixation de la contribution d'entretien (ATF 138 III 289 consid. 11.1.1; 127 III 136 consid. 3a; arrêt 5A_25/2008 et 5A_34/2008 du 14 novembre 2008 consid. 8.4 non publié aux ATF 135 III 153). 5.2.1 En l'espèce, la vie commune des parties après la célébration du mariage a duré un peu plus de sept ans (de ______ 2008 à la séparation en septembre 2015) de sorte qu'il n'est pas présumé avoir influencé la situation de l'appelante. Les parties ont vécu en concubinage plusieurs années avant le mariage, de sorte que la durée totale de la vie commune a été supérieure à 10 ans. Toutefois, le mariage en lui-même n'a pas eu de conséquences sur la situation de l'appelante puisqu'aucun enfant n'est issu de la relation des parties et qu'elle n'a pas prouvé que l'intimé l'avait empêchée d'exercer une activité lucrative. Cela étant, même en admettant que le mariage a influencé la situation financière de l'appelante, ce qui lui donnerait, sur le principe, le droit à une contribution d'entretien, c'est à juste titre que le premier juge a considéré qu'elle était apte à subvenir seule à son entretien convenable. En effet, le fait de ne pas posséder le permis de conduire n'empêche pas l'appelante d'exercer une activité professionnelle, étant relevé qu'elle réside au centre-ville, dans le quartier de S______ [GE], lequel est bien desservi par les transports publics. En outre, l'appelante n'a pas prouvé souffrir de dyslexie ou de phobies telle que la peur de l'échec. Il résulte du rapport de stage d'évaluation à l'emploi qu'elle bénéficierait de suivis psychologiques mais ce rapport ne fait que rapporter les propres allégations de l'appelante et celle-ci n'a pas produit de certificat médical des médecins qui la suivraient. En outre, aucun témoin n'a pu</w:t>
      </w:r>
    </w:p>
    <w:p>
      <w:r>
        <w:t>- 19/23 -</w:t>
      </w:r>
    </w:p>
    <w:p>
      <w:r>
        <w:t>C/25363/2017 relater que l'appelante serait angoissée à l'idée de travailler. Par conséquent, c'est à juste titre que le Tribunal a considéré que l'appelante était en mesure d'exercer une activité lucrative. S'agissant du montant du salaire retenu à son égard, l'appelante se limite à faire valoir que seul un revenu de 3'400 fr. net doit être retenu puisque c'est cette somme que la Cour avait retenue dans son arrêt du 12 octobre 2018. Même si cette décision a été rendue moins d'une année avant le jugement querellé, on ne peut reprocher au Tribunal de s'être référé aux statistiques en vigueur lors du prononcé du jugement, ce qui permet de tenir compte de l'évolution du marché du travail. L'appelante ne conteste pas que selon le "Calculateur national des salaires", en vigueur depuis le 1er mars 2019, le salaire brut médian pour un travail à 100% effectué par une personne de 36 ans, sans formation ni expérience, sans position hiérarchique, dans des domaines tels que la santé humaine ou l'action sociale, ou encore la vente (commerce de détail) est de l'ordre de 4'400 fr., d'où un salaire mensuel net légèrement supérieur à 4'000 fr. Par conséquent, ce montant doit être confirmé. C'est également avec raison que l'appelante ne critique pas le jugement en tant qu'il considère que le revenu hypothétique peut lui être imputé avec effet immédiat puisque cela fait plusieurs années qu'elle s'est engagée à retrouver un emploi et qu'elle n'a rien entrepris dans ce sens, alors que l'intimé lui a versé une contribution d'entretien pendant deux ans pour qu'elle puisse reprendre une activité. Enfin, l'appelante allègue que les parties avaient un train de vie confortable puisqu'ils partaient régulièrement en vacances. Elle n'a toutefois pas contesté les charges retenues à son égard par le Tribunal, ni prouvé l'existence d'autres charges qui auraient dû être prises en considération. Par conséquent, le jugement sera confirmé en tant qu'il déboute l'appelante de toute contribution à son entretien.</w:t>
      </w:r>
    </w:p>
    <w:p>
      <w:r>
        <w:rPr>
          <w:b/>
        </w:rPr>
        <w:t>E. 6</w:t>
      </w:r>
    </w:p>
    <w:p>
      <w:r>
        <w:t>L'appelante reproche au Tribunal de ne pas lui avoir accordé la provisio ad litem de 10'000 fr. à laquelle elle avait conclu au motif que la procédure était arrivée à son terme.</w:t>
      </w:r>
    </w:p>
    <w:p>
      <w:r>
        <w:rPr>
          <w:b/>
        </w:rPr>
        <w:t>E. 6.1</w:t>
      </w:r>
    </w:p>
    <w:p>
      <w:r>
        <w:t>L'obligation d'une partie de faire à l'autre l'avance des frais du procès en divorce ou sur mesures protectrices de l'union conjugale découle du devoir général d'entretien et d'assistance des conjoints (article 163 CC; ATF 117 II 127). La fixation d'une provisio ad litem par le juge nécessite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La provisio ad litem</w:t>
      </w:r>
    </w:p>
    <w:p>
      <w:r>
        <w:t>- 20/23 -</w:t>
      </w:r>
    </w:p>
    <w:p>
      <w:r>
        <w:t>C/25363/2017 constitue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(arrêts du Tribunal fédéral 5A_819/2017 du 20 mars 2018 consid. 11; 5A_777/2014 du 4 mars 2015 consid. 6.3).</w:t>
      </w:r>
    </w:p>
    <w:p>
      <w:r>
        <w:rPr>
          <w:b/>
        </w:rPr>
        <w:t>E. 6.2</w:t>
      </w:r>
    </w:p>
    <w:p>
      <w:r>
        <w:t>En l'espèce, l'ensemble des frais de la procédure de première instance a été mis à la charge de l'intimé, compte tenu de sa situation financière plus favorable. Parallèlement, l'appelante a perçu une provisio ad litem pour couvrir ses frais d'avocat de première instance qu'elle n'a pas été condamnée à restituer à l'intimé. Le montant de cette provisio ad litem, arrêté à 4'000 fr. par le Tribunal, a été confirmé par la Cour de justice. A l'issue de la procédure, l'appelante s'est limitée à persister dans ses conclusions en versement d'une provisio ad litem de 10'000 fr. sans la justifier. Elle n'a ainsi pas plaidé que la procédure aurait été plus complexe que prévu de sorte que ses honoraires d'avocat auraient dépassé la somme de 4'000 fr. allouée. C'est donc à juste titre que le Tribunal lui a refusé une nouvelle provisio ad litem. L'intimé n'ayant pas appelé du jugement, ce dernier sera confirmé en tant qu'il a renoncé à condamner l'appelante à lui restituer la provisio ad litem relative à la première instance. Le jugement querellé sera donc confirmé à cet égard.</w:t>
      </w:r>
    </w:p>
    <w:p>
      <w:r>
        <w:rPr>
          <w:b/>
        </w:rPr>
        <w:t>E. 7.1</w:t>
      </w:r>
    </w:p>
    <w:p>
      <w:r>
        <w:t>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Cette dernière hypothèse vise notamment les cas où il existe une disparité économique importante des parties (ATF 139 III 33 consid. 4.2 et les références; arrêt du Tribunal fédéral 4A_535/2015 du 1er juin 2016 consid. 6.4.1). Cette disposition doit cependant être appliquée restrictivement (arrêts du Tribunal fédéral 1C_350/2016 du 2 février 2017 consid. 2.3.2; 5A_482/2014 du 14 janvier 2015 consid. 6 in fine). Lorsque la Cour statue à nouveau, elle se prononce sur les frais fixés par le Tribunal de première instance (art. 318 al. 3 CPC). 7.2.1 En l'espèce, le Tribunal a fixé les frais judiciaires à 10'000 fr., ce qui est conforme à la loi (art. 30 RTFMC) et n'est pas contesté par les parties.</w:t>
      </w:r>
    </w:p>
    <w:p>
      <w:r>
        <w:t>- 21/23 -</w:t>
      </w:r>
    </w:p>
    <w:p>
      <w:r>
        <w:t>C/25363/2017 L'intimé ne remet pas en cause la décision en tant qu'elle le condamne à prendre en charge la totalité des frais judiciaires de première instance. La décision du Tribunal de ne pas allouer de dépens, compte tenu de la provisio ad litem de 4'000 fr. attribuée à l'appelante et qu'elle n'a pas été condamnée à rembourser, est conforme au droit, étant rappelé qu'elle n'a pas rendu vraisemblable que ses frais d'avocat aient été supérieurs à ce montant. Par conséquent, les chiffres 10 et 11 du jugement, au demeurant non critiqués par les parties, seront confirmés. 7.2.2 Les frais judiciaires d'appel seront fixés à 4'000 fr. (art. 30 et 35 RTFMC) et mis à la charge des parties pour moitié chacune, compte tenu de la nature familiale et de l'issue du litige (art. 95 et 107 al. 1 let. c CPC). Ils seront compensés à hauteur de 4'000 fr. avec l'avance de frais du même montant versée par l'appelante (art. 111 al. 1 CPC) qui demeure acquise à l'Etat de Genève. L'intimé sera condamné à verser à l'appelante la somme de 2'000 fr. au titre de sa part des frais judiciaires d'appel. Pour les mêmes raisons, chaque partie supportera ses propres dépens d'appel (art. 107 al. 1 let. c CPC).</w:t>
      </w:r>
    </w:p>
    <w:p>
      <w:r>
        <w:t>Dès lors que l'appelante va percevoir plus de 100'000 fr. au titre de la liquidation du régime matrimonial, il y a lieu de la condamner à rembourser à l'intimé la provisio ad litem de 4'000 fr. relative aux frais judiciaires d'appel à laquelle il a été condamné sur mesures provisionnelles, laquelle constituait une simple avance (cf. supra 5.1). * * * * *</w:t>
      </w:r>
    </w:p>
    <w:p>
      <w:r>
        <w:t>- 22/23 -</w:t>
      </w:r>
    </w:p>
    <w:p>
      <w:r>
        <w:t>C/25363/2017 PAR CES MOTIFS, La Chambre civile : A la forme : Déclare recevable l'appel interjeté le 27 septembre 2019 par A______ contre le jugement JTPI/11707/2019 rendu le 23 août 2019 par le Tribunal de première instance dans la cause C/25363/2017-2. Au fond : Annule le chiffre 2 du dispositif du jugement entrepris et statuant à nouveau sur ce point : Condamne B______ à verser 142'373 fr. 50 à A______ à titre de liquidation du régime matrimonial. Confirme le jugement entrepris pour le surplus. Déboute les parties de toutes autres conclusions. Sur les frais : Arrête les frais judiciaires d'appel à 4'000 fr., dit qu'ils sont compensés avec l'avance de frais de 4'000 fr. fournie par A______, laquelle demeure acquise à l'Etat de Genève, et les met à la charge des parties pour moitié chacune. Condamne B______ à verser 2'000 fr. à A______ au titre de frais judiciaires d'appel. Condamne A______ à rembourser à B______ la provisio ad litem de 4'000 fr. à laquelle il a été condamné pour la procédure d'appel.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- 23/23 -</w:t>
      </w:r>
    </w:p>
    <w:p>
      <w:r>
        <w:t>C/25363/2017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