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ACJC/701/2016 vom 13. Dezember 2007</w:t>
      </w:r>
    </w:p>
    <w:p>
      <w:r>
        <w:t>GE Cour de justice, 2007-12-13, FR</w:t>
      </w:r>
    </w:p>
    <w:p>
      <w:r>
        <w:rPr>
          <w:b/>
        </w:rPr>
        <w:t xml:space="preserve">Quelle: </w:t>
      </w:r>
      <w:r>
        <w:t>https://mcp.opencaselaw.ch/entscheid/ge_gerichte_ACJC_701_2016</w:t>
      </w:r>
    </w:p>
    <w:p>
      <w:r>
        <w:t>FR: GE_GERICHTE ACJC/701/2016 du 13 décembre 2007</w:t>
      </w:r>
    </w:p>
    <w:p>
      <w:r>
        <w:t>IT: GE_GERICHTE ACJC/701/2016 del 13 dicembre 2007</w:t>
      </w:r>
    </w:p>
    <w:p>
      <w:pPr>
        <w:pStyle w:val="Heading2"/>
      </w:pPr>
      <w:r>
        <w:t>Erwägungen</w:t>
      </w:r>
    </w:p>
    <w:p>
      <w:r>
        <w:rPr>
          <w:b/>
        </w:rPr>
        <w:t>E. 4</w:t>
      </w:r>
    </w:p>
    <w:p>
      <w:r>
        <w:t>L'appelant fait grief au premier juge d'avoir retenu que l'intimé n'était pas le seul responsable de l'absence de relations personnelles entre les parties, de sorte que celui-ci devait bénéficier de son aide financière.</w:t>
      </w:r>
    </w:p>
    <w:p>
      <w:r>
        <w:rPr>
          <w:b/>
        </w:rPr>
        <w:t>E. 4.1</w:t>
      </w:r>
    </w:p>
    <w:p>
      <w:r>
        <w:t>L'obligation d'entretien des père et mère dure jusqu'à la majorité de l'enfant (art. 277 al. 1 CC). A teneur de l'art. 277 al. 2 CC, si l'enfant n'a pas encore de formation appropriée à sa majorité, les père et mère doivent, dans la mesure où les circonstances permettent de l'exiger d'eux, subvenir à son entretien jusqu'à ce qu'il ait acquis une telle formation, pour autant qu'elle soit achevée dans des délais normaux. L'obligation d'entretien des père et mère à l'égard de leur enfant majeur dépend expressément de l'ensemble des circonstances et notamment des relations personnelles entre les parties. Si l'inexistence de celles-ci attribuée au seul comportement du demandeur d'aliments peut justifier un refus de toute contribution d'entretien, la jurisprudence exige toutefois que l'attitude de l'enfant lui soit imputable à faute, celle-ci devant être appréciée subjectivement; l'enfant doit avoir violé gravement les devoirs qui lui incombent en vertu de l'art. 272 CC, et dans les cas où les relations personnelles sont rompues, avoir provoqué la rupture par son refus injustifié de les entretenir, son attitude gravement querelleuse ou son hostilité profonde (arrêt du Tribunal fédéral 5A_664/2015 du 25 janvier 2016 consid. 3.1 et les arrêts cités).</w:t>
      </w:r>
    </w:p>
    <w:p>
      <w:r>
        <w:t>Dans ce domaine, le juge jouit d'un large pouvoir d'appréciation (cf. ATF 127 III 136 consid. 3a; 120 II 285 consid. 3b/bb); il applique les règles du droit et de l'équité (art. 4 CC; arrêts du Tribunal fédéral 5A_179/2015 du 29 mai 2015 consid. 3.4; 5A_137/2015 du 9 avril 2015 consid. 5.1; 5A_64/2015 du 2 avril 2015 consid. 5.1.1; 5A_560/2011 du 25 novembre 2011 consid. 4.1.2).</w:t>
      </w:r>
    </w:p>
    <w:p>
      <w:r>
        <w:t>- 9/13 -</w:t>
      </w:r>
    </w:p>
    <w:p>
      <w:r>
        <w:t>C/19022/2014</w:t>
      </w:r>
    </w:p>
    <w:p>
      <w:r>
        <w:rPr>
          <w:b/>
        </w:rPr>
        <w:t>E. 4.2</w:t>
      </w:r>
    </w:p>
    <w:p>
      <w:r>
        <w:t>En l'occurrence, l'appelant soutient que son fils serait seul responsable de la rupture de leurs relations personnelles et de l'absence actuelle de contacts. Il considère que son divorce et son remariage sont des circonstances trop anciennes pour justifier le comportement de son fils à son égard. Il résulte de la procédure que l'intimé a présenté des idées suicidaires immédiatement après le divorce de ses parents (intervenu en décembre 2007) et le remariage de son père (célébré en mars 2008). Selon son psychiatre, le mal-être de l'intimé était en lien manifeste avec les relations tendues qu'il entretenait avec son père et son entourage proche, dans le cadre d'une garde alternée qui semblait inadéquate.</w:t>
      </w:r>
    </w:p>
    <w:p>
      <w:r>
        <w:t>Depuis lors, père et fils n'ont plus entretenu de relation.</w:t>
      </w:r>
    </w:p>
    <w:p>
      <w:r>
        <w:t>En 2010, à la suite du dépôt par la mère d'une demande en modification du jugement de divorce, tant les parents de l'intimé que le SPMi et le Tribunal de première instance ont considéré que l'autorité parentale et la garde devaient être accordés à la mère et qu'aucun droit de visite ne devait, en l'état, être réservé au père, lequel devait, ce nonobstant, continuer à contribuer financièrement à l'entretien de son fils.</w:t>
      </w:r>
    </w:p>
    <w:p>
      <w:r>
        <w:t>Cette situation a perduré jusqu'à l'accès à la majorité de l'enfant, survenu en juin 2012, aucun contact ni tentative de rapprochement n'étant intervenus entre les parties pendant cette période.</w:t>
      </w:r>
    </w:p>
    <w:p>
      <w:r>
        <w:t>Une fois majeur, l'enfant s'est manifesté par écrit auprès de son père afin que la contribution d'entretien lui soit versée directement. Il lui a transmis une attestation scolaire tout en refusant de lui communiquer ses carnets scolaires. Le père a, quant à lui, rappelé à son fils que la pension n'était due qu'en cas de preuve de poursuite de son cursus scolaire, ce qui passait par la communication de ses carnets scolaires. S'il ne ressort pas du dossier que l'enfant aurait exprimé la volonté de revoir son père depuis 2008, à l'exception d'une tentative de reprise de contact par le biais de son psychologue, l'appelant n'a, quant à lui, pas démontré avoir cherché à rencontrer son fils et s'être, par exemple, manifesté auprès de ce dernier pour son anniversaire, pour Noël ou simplement pour prendre de ses nouvelles. L'accès à la majorité de l'enfant n'y a rien changé puisqu'aucune des parties n'a cherché à renouer contact avec l'autre mis à part pour les questions relatives au versement de la contribution d'entretien. C'est en vain que l'appelant soutient avoir tenté de maintenir un contact régulier avec son fils par le biais de la communication de ses résultats scolaires. En effet, les courriers échangés entre les parties en août, septembre et novembre 2012 ainsi qu'en janvier 2013 ont exclusivement porté sur les incombances de l'enfant majeur</w:t>
      </w:r>
    </w:p>
    <w:p>
      <w:r>
        <w:t>- 10/13 -</w:t>
      </w:r>
    </w:p>
    <w:p>
      <w:r>
        <w:t>C/19022/2014 souhaitant continuer à bénéficier du soutien financier de son père. A aucun moment l'appelant n'a manifesté une quelconque envie de reprise de contacts. S'il est vrai que l'enfant a pris des mesures auprès de son établissement scolaire afin que son père n'ait pas accès aux informations le concernant, ce comportement ne saurait, à lui seul, être constitutif d'un refus formel de relations personnelles. L'appelant n'a ainsi pas démontré que son fils serait exclusivement responsable de l'absence de tout contact avec lui depuis son accès à la majorité. Partant, conformément à la jurisprudence, dès lors que l'enfant n'est pas le seul responsable de la cessation des relations personnelles en raison d'une faute particulièrement grave qui lui serait imputable, l'inexistence de liens ne saurait légitimer une cessation de son droit à l'entretien. Le grief tiré de la violation de l'art. 277 al. 2 CC est ainsi mal fondé.</w:t>
      </w:r>
    </w:p>
    <w:p>
      <w:r>
        <w:rPr>
          <w:b/>
        </w:rPr>
        <w:t>E. 4.3</w:t>
      </w:r>
    </w:p>
    <w:p>
      <w:r>
        <w:t>L'appelant s'étant limité à conclure à la suppression de la contribution d'entretien due à l'intimé, il ne convient pas de trancher la question, laissée ouverte par le Tribunal fédéral, de la possible réduction dans son montant ou sa durée de la contribution d'entretien due sur la base de l'art. 277 al. 2 CC, notamment en raison de la rupture des relations personnelles sans faute exclusive imputable au parent débiteur d'aliments ou à l'enfant majeur (cf. sur cette question arrêt du Tribunal fédéral 5A_664/2015 du 25 janvier 2016 consid. 3.1 et les références citées).</w:t>
      </w:r>
    </w:p>
    <w:p>
      <w:r>
        <w:rPr>
          <w:b/>
        </w:rPr>
        <w:t>E. 5</w:t>
      </w:r>
    </w:p>
    <w:p>
      <w:r>
        <w:t>L'appelant soutient que son fils n'effectuerait plus d'études sérieuses. L'intimé était âgé de 20 ans lorsqu'il a débuté sa quatrième année au collège ______, en 2014-2015, en vue de l'obtention de sa maturité gymnasiale. S'il est vrai qu'il n'avait pas terminé son année scolaire au moment où le premier juge a gardé la cause à juger (le 28 avril 2015) ni lorsqu'il a rendu le jugement querellé (le 9 juin 2015), l'intimé aurait pu déposer des pièces nouvelles en seconde instance pour prouver la poursuite de ses études, en 2015-2016, ce qu'il n'a pas fait, alors qu'il lui incombait de le faire. En effet, quand bien même la maturité fédérale n'est pas considérée par la jurisprudence comme l'achèvement d'une première formation (ou formation de base) mais uniquement comme la préparation à une formation ultérieure (éventuellement universitaire), il incombait à l'intimé de communiquer à son père, et a fortiori à la Cour de céans saisie d'un appel, toute information utile relative à la suite qu'il entendait donner à ses études. Or, l'on ignore même si l'intimé a obtenu sa maturité, puisqu'il n'a pas répondu à l'appel et qu'il semble avoir persisté dans sa décision de bloquer l'accès à son père aux données scolaires le concernant. Le courrier du SCARPA du 7 août 2015 se limite, quant à lui, à indiquer que le service s'est vu "contraint" de notifier à l'intimé la fin de son mandat en raison de la fin de l'année scolaire 2014-2015, sans se prononcer sur la suite du cursus scolaire envisagée par l'intimé.</w:t>
      </w:r>
    </w:p>
    <w:p>
      <w:r>
        <w:t>- 11/13 -</w:t>
      </w:r>
    </w:p>
    <w:p>
      <w:r>
        <w:t>C/19022/2014 En l'absence d'autres éléments, il sera donc considéré que l'intimé ne remplit plus les conditions lui permettant d'obtenir l'aide financière de son père dès le 1er juillet 2015, date de fin de l'année scolaire 2014-2015.</w:t>
      </w:r>
    </w:p>
    <w:p>
      <w:r>
        <w:t>Une contribution d'entretien ne lui est donc due que jusqu'au 30 juin 2015.</w:t>
      </w:r>
    </w:p>
    <w:p>
      <w:r>
        <w:t>Le jugement attaqué sera dès lors modifié en ce sens.</w:t>
      </w:r>
    </w:p>
    <w:p>
      <w:r>
        <w:rPr>
          <w:b/>
        </w:rPr>
        <w:t>E. 6.1</w:t>
      </w:r>
    </w:p>
    <w:p>
      <w:r>
        <w:t>Lorsque la Cour réforme en tout ou en partie le jugement entrepris, elle se prononce aussi sur les frais de première instance (art. 318 al. 3 CPC). Compte tenu de la nature du litige et du sort de la cause (l'appelant n'obtient pas entièrement gain de cause), les frais judiciaires de première instance, arrêtés à 1'700 fr. par le Tribunal, seront mis à la charge des parties pour moitié chacune (art. 96, 104 al. 1, 105 al. 1, 106 al. 1 et 2 et 107 al. 1 let. c CPC). Entièrement couverts par l'avance de frais de même montant effectuée par l'appelant, qui reste acquise à l'Etat de Genève (art. 111 al. 1 CPC), l'intimé sera condamné à verser à l'appelant un montant de 850 fr. à titre de remboursement partiel de ladite avance. L'appelant conservera à sa charge ses propres dépens (art. 107 al. 1 let. c CPC).</w:t>
      </w:r>
    </w:p>
    <w:p>
      <w:r>
        <w:rPr>
          <w:b/>
        </w:rPr>
        <w:t>E. 6.2</w:t>
      </w:r>
    </w:p>
    <w:p>
      <w:r>
        <w:t>Pour les mêmes motifs, les frais judiciaires d'appel, arrêtés à 1'500 fr., seront répartis par moitié entre les parties (art. 95 al. 1 let. a et al. 2, 96, 104 al. 1, 106 al. 1 et 2, 107 al. 1 let c CPC; art. 30 et 35 RTFMC). Dans la mesure où ils sont entièrement couverts par l'avance de frais de même montant effectuée par l'appelant, l'intimé sera condamné à lui verser la somme de 750 fr. à titre de remboursement partiel de l'avance de frais. L'appelant conservera à sa charge ses propres dépens (art. 107 al. 1 let. c CPC). * * * * *</w:t>
      </w:r>
    </w:p>
    <w:p>
      <w:r>
        <w:t>- 12/13 -</w:t>
      </w:r>
    </w:p>
    <w:p>
      <w:r>
        <w:t>C/19022/2014 PAR CES MOTIFS, La Chambre civile : A la forme : Déclare recevable l'appel interjeté par A______ contre le jugement JTPI/6547/2015 rendu le 9 juin 2015 par le Tribunal de première instance dans la cause C/19022/2014-6. Au fond : Annule le jugement attaqué et, statuant à nouveau : Dit que A______ est libéré de l'obligation de contribuer à l'entretien de son fils B______ dès le 1er juillet 2015. Arrête les frais judiciaires de première instance à 1'700 fr. et les met pour moitié à la charge de chaque partie. Condamne en conséquence B______ à verser 850 fr. à A______, à titre de remboursement partiel de l'avance de frais de première instance. Dit que A______ supportera ses propres dépens de première instance. Déboute les parties de toutes autres conclusions. Sur les frais : Arrête les frais judiciaires d'appel à 1'500 fr., les met pour moitié à la charge de chaque partie et dit qu'ils sont entièrement compensés par l'avance de frais fournie par A______, laquelle reste acquise à l'Etat de Genève. Condamne en conséquence B______ à verser à A______ la somme de 750 fr. à titre de remboursement partiel de l'avance de frais d'appel. Dit que A______ supportera ses propres dépens d'appel. Siégeant : Monsieur Cédric-Laurent MICHEL, président; Madame Pauline ERARD et Madame Paola CAMPOMAGNANI, juges; Madame Marie NIERMARÉCHAL, greffière.</w:t>
      </w:r>
    </w:p>
    <w:p>
      <w:r>
        <w:t>Le président : Cédric-Laurent MICHEL</w:t>
      </w:r>
    </w:p>
    <w:p>
      <w:r>
        <w:t>La greffière : Marie NIERMARÉCHAL</w:t>
      </w:r>
    </w:p>
    <w:p>
      <w:r>
        <w:t>- 13/13 -</w:t>
      </w:r>
    </w:p>
    <w:p>
      <w:r>
        <w:t>C/19022/2014</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