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ACJC/701/2014 vom 16. Juni 2014</w:t>
      </w:r>
    </w:p>
    <w:p>
      <w:r>
        <w:t>GE Cour de justice, 2014-06-16, FR</w:t>
      </w:r>
    </w:p>
    <w:p>
      <w:r>
        <w:rPr>
          <w:b/>
        </w:rPr>
        <w:t xml:space="preserve">Quelle: </w:t>
      </w:r>
      <w:r>
        <w:t>https://mcp.opencaselaw.ch/entscheid/ge_gerichte_ACJC_701_2014</w:t>
      </w:r>
    </w:p>
    <w:p>
      <w:r>
        <w:t>FR: GE_GERICHTE ACJC/701/2014 du 16 juin 2014</w:t>
      </w:r>
    </w:p>
    <w:p>
      <w:r>
        <w:t>IT: GE_GERICHTE ACJC/701/2014 del 16 giugno 2014</w:t>
      </w:r>
    </w:p>
    <w:p>
      <w:pPr>
        <w:pStyle w:val="Heading2"/>
      </w:pPr>
      <w:r>
        <w:t>Regeste</w:t>
      </w:r>
    </w:p>
    <w:p>
      <w:r>
        <w:t>Résumé: DISPROPORTION MANIFESTE DES INTÉRÊTS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L'art. 271 al. 1 CO vise singulièrement toute résiliation qui dénote une attitude déloyale résultant d'une disproportion évidente entre les intérêts réciproques du bailleur et du locataire. Tel est par exemple le cas lorsque les intérêts purement financiers sont en disproportion manifeste avec un problème humain particu­lièrement pénible.</w:t>
      </w:r>
    </w:p>
    <w:p>
      <w:pPr>
        <w:pStyle w:val="Heading2"/>
      </w:pPr>
      <w:r>
        <w:t>Volltext</w:t>
      </w:r>
    </w:p>
    <w:p>
      <w:r>
        <w:t>Résumé: DISPROPORTION MANIFESTE DES INTÉRÊTS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L'art. 271 al. 1 CO vise singulièrement toute résiliation qui dénote une attitude déloyale résultant d'une disproportion évidente entre les intérêts réciproques du bailleur et du locataire. Tel est par exemple le cas lorsque les intérêts purement financiers sont en disproportion manifeste avec un problème humain particu­lièrement pénible.</w:t>
      </w:r>
    </w:p>
    <w:p>
      <w:r>
        <w:t>Descripteurs: Descripteurs: BAIL À LOYER ; RÉSILIATION ; PROTECTION CONTRE LES CONGÉS ; ANNULABILITÉ</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