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ACJC/69/2026 vom 15. Januar 2026</w:t>
      </w:r>
    </w:p>
    <w:p>
      <w:r>
        <w:t>GE Cour de justice, 2026-01-15, FR</w:t>
      </w:r>
    </w:p>
    <w:p>
      <w:r>
        <w:rPr>
          <w:b/>
        </w:rPr>
        <w:t xml:space="preserve">Quelle: </w:t>
      </w:r>
      <w:r>
        <w:t>https://mcp.opencaselaw.ch/entscheid/ge_gerichte_ACJC_69_2026</w:t>
      </w:r>
    </w:p>
    <w:p>
      <w:r>
        <w:t>FR: GE_GERICHTE ACJC/69/2026 du 15 janvier 2026</w:t>
      </w:r>
    </w:p>
    <w:p>
      <w:r>
        <w:t>IT: GE_GERICHTE ACJC/69/2026 del 15 gennaio 2026</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Interjeté dans le délai et suivant la forme prescrits par la loi (art. 130, 131, 142, 145 al.1 let. b et 311 al. 1 CPC) à l'encontre d'une décision finale de première instance, qui statue sur des conclusions pécuniaires dont la valeur litigieuse au dernier état des conclusions est supérieure à 10'000 fr. (art. 91 ss et 308 al. 2 CPC), l'appel est recevable.</w:t>
      </w:r>
    </w:p>
    <w:p>
      <w:r>
        <w:t>- 8/16 -</w:t>
      </w:r>
    </w:p>
    <w:p>
      <w:r>
        <w:t>C/23590/2020 Par souci de simplification et de clarté, feu C______ sera désigné ci-après comme l'intimé.</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l'espèce, les éléments de fait que l'appelant considérait comme inexactement retranscrits par le Tribunal ont été directement intégrés dans l'état de fait dressé ci- avant, sur la base des actes et pièces de la procédure, dans la mesure utile.</w:t>
      </w:r>
    </w:p>
    <w:p>
      <w:r>
        <w:rPr>
          <w:b/>
        </w:rPr>
        <w:t>E. 2.1</w:t>
      </w:r>
    </w:p>
    <w:p>
      <w:r>
        <w:t>Lorsque la mainlevée provisoire a été accordée, le débiteur peut, dans les 20 jours à compter de la mainlevée, intenter au for de la poursuite une action en libération de dette; le procès est instruit en la forme ordinaire (art. 83 al. 2 LP).</w:t>
      </w:r>
    </w:p>
    <w:p>
      <w:r>
        <w:rPr>
          <w:b/>
        </w:rPr>
        <w:t>E. 2.2</w:t>
      </w:r>
    </w:p>
    <w:p>
      <w:r>
        <w:t>En l'occurrence, la recevabilité de l'action en libération de dette déposée par l'intimé n'est, à juste titre, pas remise en cause devant la Cour.</w:t>
      </w:r>
    </w:p>
    <w:p>
      <w:r>
        <w:rPr>
          <w:b/>
        </w:rPr>
        <w:t>E. 3</w:t>
      </w:r>
    </w:p>
    <w:p>
      <w:r>
        <w:t>L'appelant fait grief au Tribunal d'avoir considéré qu'il n'était pas titulaire de la créance déduite en poursuite à l'encontre de l'intimé, au motif que cette créance découlait d'un contrat de prêt conclu entre D______ et E______. 3.1.1 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de mainlevée provisoire (ATF 131 III 268 consid. 3.1, SJ 2005 I 401; 130 III 285 consid. 5.3.1; arrêt du Tribunal fédéral 5A_70/2018 du 23 octobre 2018 consid. 3.3.1.2). Les parties ne sont pas limitées aux moyens soulevés dans l'opposition et dans la procédure de mainlevée provisoire. Le créancier peut motiver sa créance autrement, produire un autre titre, voire invoquer une autre cause. Il doit toutefois y avoir identité avec la créance déduite en poursuite. Une cause apparue postérieurement à la notification du commandement de payer ne saurait être prise en compte. Si le créancier fait valoir une créance autre que celle déduite en</w:t>
      </w:r>
    </w:p>
    <w:p>
      <w:r>
        <w:t>- 9/16 -</w:t>
      </w:r>
    </w:p>
    <w:p>
      <w:r>
        <w:t>C/23590/2020 poursuite, l'action en libération doit être admise; à défaut d'identité, il ne saurait être question d'une continuation de la poursuite (arrêt du Tribunal fédéral 4A_482/2019 du 10 novembre 2020 consid. 3 et les références citées). Le sort de l'action en libération de dette a des effets immédiats sur celui de la poursuite. Si le débiteur obtient gain de cause, la poursuite ne peut pas être continuée. Si, au contraire, le débiteur succombe, la mainlevée devient définitive et permet la continuation de la poursuite (art. 83 al. 3 LP; SCHMIDT, CR LP, 2025, n. 24 ad art. 83 LP). 3.1.2 Aux termes de l'art. 17 CO, la reconnaissance d'une dette est valable, même si elle n'énonce pas la cause de l'obligation.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au débiteur. Il n'en demeure pas moins que la cause sous-jacente doit exister et être valable : en droit suisse, la reconnaissance de dette, même abstraite (c'est-à-dire qui n'évoque pas la cause), a pour objet une obligation causale (ATF 119 II 452 consid. 1d; 105 II 183 consid. 4a; arrêt du Tribunal fédéral 4A_482/2019 du 10 novembre 2020 consid. 3). Sous l'angle probatoire, la reconnaissance de dette renverse le fardeau de la preuve; le créancier qui la produit n'a pas à prouver la cause de sa créance, ni la réalisation d'autres conditions que celles qui sont indiquées dans cet acte (ATF 142 IV 119 consid. 2.3; 131 III 268 consid. 3.2). Le débiteur qui conteste la dette doit établir la cause de l'obligation (lorsqu'elle n'est pas déjà énoncée) et démontrer que cette cause n'est pas valable, ou ne peut plus être invoquée (ATF 105 II 183 consid. 4a), par exemple parce que le rapport juridique à la base de la reconnaissance est inexistant, nul (art. 19 et 20 CO), invalidé ou simulé (art. 18 al. 1 CO). De manière générale, il peut se prévaloir de toutes les objections et exceptions (exécution, remise de dette, exception de l'inexécution, prescription, etc.) qui sont dirigées contre la dette reconnue (ATF 131 III 268 consid. 3.2; arrêt du Tribunal fédéral 4A_482/2019 du 10 novembre 2020 consid. 3). 3.1.3 En vertu de la loi, toute obligation offre au créancier une garantie générale sur le patrimoine du débiteur : le créancier peut ouvrir action pour demander l'exécution forcée de sa créance et exercer une mainmise sur tous les biens du débiteur. Les parties peuvent convenir de renforcer la position du créancier : d'abord en introduisant dans le contrat des voies plus strictes, par exemple une clause pénale (art. 160 CO); ensuite et surtout en assortissant la dette de sûretés supplémentaires (réelles ou personnelles), dont le créancier bénéficiera par préférence (TERCIER/CARRON, Les contrats spéciaux, 2025, p. 1025-1026).</w:t>
      </w:r>
    </w:p>
    <w:p>
      <w:r>
        <w:t>- 10/16 -</w:t>
      </w:r>
    </w:p>
    <w:p>
      <w:r>
        <w:t>C/23590/2020 Par "sûretés réelles", on entend les droits complémentaires qu'a le créancier sur des choses ou des créances qu'il peut au besoin faire réaliser pour obtenir le paiement de la créance garantie; il s'agit principalement de droits de gage immobiliers (art. 793 ss CO) ou mobiliers (art. 884 ss CO). On appelle "sûretés personnelles" les engagements que prennent des tiers en garantie de la dette du débiteur. Leur nombre n'est pas limité, le droit suisse des contrats étant soumis au principe de la liberté contractuelle (art. 19 al. 1 CO). On peut néanmoins signaler trois modalités particulières : le cautionnement (art. 492 ss CO, contrat par lequel une personne s'engage envers le créancier d'un débiteur principal à répondre accessoirement de l'exécution d'une dette), le porte-fort (art. 111 CO, contrat par lequel une personne promet au bénéficiaire le fait d'un tiers et s'engage à lui payer des dommages-intérêts si ce tiers ne s'exécute pas) et l'engagement solidaire (art. 143 ss CO, hypothèse dans laquelle plusieurs débiteurs répondent de la totalité de la dette envers le créancier) (TERCIER/PICHONNAZ, Le droit des obligations, 2024, p. 355, 357 et 358). 3.1.4 Par la promesse de porte-fort, le débiteur (promettant, porte-fort) promet en son nom, pour son compte et à ses risques au créancier (bénéficiaire) le fait d'autrui (TEVINI, CR CO I, 2021, n. 1 ad art. 111 CO et les réf. citées). Le « fait d'autrui » peut être un fait quelconque de l'homme, positif ou négatif, une prestation au sens technique, comme un comportement, un geste, une présence, une absence, une action juridique ou un acte juridique, une décision, etc. (ENGEL, Traité des obligations en droit suisse, 1997, p. 433). Sauf convention contraire, la garantie est exigible dès que la prestation du tiers n'est pas effectuée au moment convenu. Le bénéficiaire de la promesse n'est pas tenu de mettre le tiers en demeure, ni de le rechercher (ATF 131 III 606 consid. 4.2.2; arrêt du Tribunal fédéral 4A_290/2007 du 10 décembre 2007 consid. 6.1). La promesse de porte-fort visée à l'art. 111 CO revêt différentes formes. Dans certains cas, le porte-fort garantit un résultat sans relation avec une obligation déterminée, car le tiers n'est pas obligé envers le bénéficiaire (porte-fort "simple"). Dans d'autres cas, la promesse de porte-fort se rapporte à une relation juridique préexistante entre le bénéficiaire et le tiers, appelée rapport de valeur, en vertu de laquelle celui-ci a une obligation (principale) envers celui-là; la promesse de porte-fort garantit la prestation du tiers (porte-fort "qualifié") (ATF 113 II 434 consid. 2a, JdT 1988 I p. 185; TERCIER/CARRON, op. cit., p. 1085). Dans ce dernier cas, le fait promis consiste en l'exécution d'une obligation du tiers envers le stipulant (ATF 125 III 305 consid. 2.b et les réf. citées). Le porte-fort agit en général dans son propre intérêt : le but recherché est d'induire le bénéficiaire à un comportement favorable au promettant; plus particulièrement la conclusion d'un contrat, dont le porte-fort peut être l'une des clause (TEVINI, op. cit., n. 5 et 6 ad art. 111 CO). L'art. 111 CO couvre les situations les plus disparates; la doctrine donne les exemples suivants : A promet à B que la société</w:t>
      </w:r>
    </w:p>
    <w:p>
      <w:r>
        <w:t>- 11/16 -</w:t>
      </w:r>
    </w:p>
    <w:p>
      <w:r>
        <w:t>C/23590/2020 C distribuera régulièrement un dividende annuel de 12%; la société B, mère de la société A, promet à C qu'elle assumera les engagements de sa société fille envers lui; la société A s'oblige envers B à lui faire tenir des actions nouvelles, par renonciation de C au droit préférentiel de souscription dans l'augmentation de capital; A, président du conseil d'administration et actionnaire principal de la société B, promet de répondre personnellement de la dette de B résultant d'un prêt contracté avec C (ENGEL, op. cit., p. 431-433 et les arrêts cités; TEVINI, op. cit., n. 5 ad art. 111 CO et les arrêts cités). Comme dans tout contrat, l'objet de la promesse de porte-fort est une prestation du débiteur (promettant) au créancier (bénéficiaire). Sauf stipulation contraire, cette prestation consiste à indemniser le bénéficiaire au cas où le tiers n'a pas le comportement promis. Cela étant, l'art. 111 CO est une norme de droit dispositif. Les parties peuvent donc y déroger et convenir que le promettant fournira la prestation par hypothèse due par le tiers plutôt qu'une indemnité. Elles peuvent assortir la promesse de toutes conditions (par exemple convenir que le promettant ne répondra pas en cas d'invalidité du rapport de valeur ou d'inexécution de ce contrat par le bénéficiaire) ou convenir que le promettant devra verser une clause pénale ou un montant forfaitaire (situation proche de la garantie bancaire) (TEVINI, op. cit., n. 2 et 7 ad art. 111 CO; TERCIER/CARRON, op. cit., p. 1086). 3.1.5 Pour déterminer si un contrat a été conclu, quels en sont les cocontractants et quel en est le contenu, le juge doit interpréter les manifestations de volonté des parties (ATF 144 III 93 consid. 5.2, arrêt du Tribunal fédéral 4A_219/2024 du 2 avril 2025 consid. 4.1). Selon les règles d'interprétation des contrats déduites de l'art. 18 CO, le juge doit tout d'abord rechercher la réelle et commune intention des parties (interprétation subjective), sans s'arrêter aux expressions ou dénominations inexactes dont elles ont pu se servir, soit par erreur, soit pour déguiser la nature véritable de la convention (art. 18 al. 1 CO). Le cas échéant, le juge devra procéder empiriquement, sur la base d'indices.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w:t>
      </w:r>
    </w:p>
    <w:p>
      <w:r>
        <w:t>- 12/16 -</w:t>
      </w:r>
    </w:p>
    <w:p>
      <w:r>
        <w:t>C/23590/2020 déclarations de volonté de l'autre, c'est-à-dire conformément au principe de la confiance (ATF 144 III 93 consid. 5.2.3 et les arrêts cités). 3.2.1 En l'espèce, il est constant que D______ a prêté à E______ la somme de 550'000 USD, remboursable au 31 décembre 2016 et portant intérêts à 12 % l'an, que l'échéance du contrat de prêt conclu entre ces deux sociétés a été reportée à plusieurs reprises, notamment par addendum du 14 juillet 2017 (lequel stipulait que le remboursement des 550'000 USD, intérêts en sus, devait intervenir en francs suisses), et que les fonds ainsi prêtés n'ont jamais été remboursés. Il est par ailleurs constant que l'appelant a fondé la poursuite n° 1______ dirigée contre l'intimé sur la reconnaissance de dette du 26 juillet 2018 souscrite par ce dernier, mentionnée comme titre de la créance dans le commandement de payer. Cette reconnaissance de dette – abstraite, claire et univoque – contient l'engagement inconditionnel de l'intimé de payer à l'appelant la somme de 790'800 fr. au plus tard d'ici le 31 décembre 2018. Devant le Tribunal, l'appelant a déclaré que cette reconnaissance de dette, à l'instar de celle signée par l'intimé le 31 mars 2016 (et non le 31 mars 2015 comme indiqué par erreur dans ce document), formalisait l'engagement pris par ce dernier de lui rembourser personnellement les fonds mis à disposition de E______ – dont l'intimé était l'ayant droit économique (ce qui ressort également de l'extrait du site internet "G______.ru" du ______ 2020) – par l'intermédiaire de D______ – dont lui-même était l'ayant droit économique – dans l'hypothèse où la somme de 550'000 USD (avec les intérêts) n'était pas remboursée à l'échéance du contrat de prêt conclu entre ces deux sociétés. Il s'agissait d'une sûreté personnelle soumise au droit suisse, ouvrant un for à Genève, que l'intimé lui avait fournie pour permettre la conclusion du contrat de prêt du 29 mars 2016, respectivement le report de son échéance au 31 décembre 2018, étant donné que lui-même n'aurait pas accordé un tel prêt via sa société, ni consenti à un nouveau report, sans avoir obtenu une telle garantie. Cette version des faits est étayée par les pièces versées au dossier. La garantie personnelle dont se prévaut l'appelant est en effet corroborée par les deux reconnaissances de dette signées par l'intimé (la signature figurant sur la seconde ayant été légalisée par une notaire), mais également par l'attestation de l'appelant du 26 juillet 2018 (dont les parties conviennent qu'elle a été signée en même temps que la seconde reconnaissance de dette et qui précise que les 790'800 fr. dus par l'intimé correspondent aux fonds prêtés à E______, avec les intérêts, tandis que la reconnaissance de dette du 28 juillet 2016 constitue une "garantie supplémentaire" pour l'appelant "en tant que bénéficiaire de D______"), ainsi que par les nombreux messages WhatsApp échangés par les parties entre les mois de décembre 2019 et d'août 2020 (dont il ressort que l'intimé se considérait comme personnellement obligé, vis-à-vis de l'appelant, à rembourser les fonds mis à disposition de E______, cela en dépit de la radiation de D______).</w:t>
      </w:r>
    </w:p>
    <w:p>
      <w:r>
        <w:t>- 13/16 -</w:t>
      </w:r>
    </w:p>
    <w:p>
      <w:r>
        <w:t>C/23590/2020 De son côté, l'intimé s'est limité, pour l'essentiel, à réitérer que lui-même et l'appelant n'étaient pas parties au contrat de prêt du 29 mai 2016 et qu'il n'avait pas personnellement reçu les fonds prêtés à E______, contrairement à ce qui était indiqué dans les reconnaissances de dettes abstraites qu'il avait signées. Il n'a toutefois donné aucune explication plausible sur la raison qui l'avait conduit à s'engager de la sorte vis-à-vis de l'appelant, pas plus que sur la cause de l'obligation ainsi souscrite alors qu'il lui revenait de le faire, respectivement d'exposer en quoi la cause de l'obligation ne serait pas valable (cf. supra consid. 3.1.2). En particulier, l'intimé – dont il n'est pas contesté qu'il était un homme d'affaires expérimenté – ne s'est pas prononcé sur l'affirmation de l'appelant selon laquelle son engagement avait pour but de garantir le remboursement du prêt octroyé à E______ à titre personnel, de façon analogue à une promesse de porte-fort au sens de l'art. 111 CO, se limitant à contester en bloc les explications de sa partie adverse. Au surplus, ainsi que le plaide l'appelant, le fait que l'intimé a, dans ses reconnaissances de dette, attesté avoir reçu le montant du prêt, pourtant formellement contracté par les sociétés D______ et E______, tend à démontrer que les fonds étaient en réalité affectés à ses besoins personnels, ainsi que l'appelant l'a affirmé lors de sa déposition devant le premier juge. Enfin, l'arrêt du Tribunal fédéral 4A_482/2019 auquel se réfère l'intimé ne lui est d'aucun secours, faute d'être transposable aux circonstances du cas d'espèce. En définitive, l'intimé n'a développé aucun argument permettant de conclure que la cause de l'obligation sur laquelle repose la reconnaissance de dette qu'il a signée le 26 juillet 2018 ne serait pas valable ou ne pourrait plus être invoquée. 3.2.2 C'est par conséquent à tort que le Tribunal a retenu que l'intimé ne devait pas la créance faisant l'objet de la poursuite n° 1______, étant néanmoins précisé que l'appelant peut uniquement prétendre au paiement d'intérêts moratoires de 5% l'an dès le 1er janvier 2019 sur sa créance en capital de 790'800 fr. (art. 104 CO). Le jugement entrepris sera dès lors annulé et il sera statué à nouveau, en ce sens que la partie intimée sera déboutée des fins de son action en libération de dette, qu'il sera constaté que la partie intimée doit à l'appelant la somme de 790'800 fr. avec intérêts à 5% l'an dès le 1er janvier 2019, et que la mainlevée définitive de l'opposition formée à la poursuite susvisée sera prononcée à due concurrence.</w:t>
      </w:r>
    </w:p>
    <w:p>
      <w:r>
        <w:rPr>
          <w:b/>
        </w:rPr>
        <w:t>E. 4.1</w:t>
      </w:r>
    </w:p>
    <w:p>
      <w:r>
        <w:t>Si l'instance d'appel statue à nouveau, elle se prononce sur les frais de la première instance (art. 318 al. 3 CPC). Eu égard à la valeur litigieuse, à l'ampleur et à la difficulté de la cause, qui ne présente pas de complexité particulière, les frais judiciaires de première instance, incluant les frais d'interprète en 120 fr., seront arrêtés à 15'120 fr. et partiellement compensés avec les avances versées par l'appelant à hauteur de 30'160 fr., qui restent acquises à l'Etat de Genève à due concurrence (art. 111 al. 1 aCPC), le</w:t>
      </w:r>
    </w:p>
    <w:p>
      <w:r>
        <w:t>- 14/16 -</w:t>
      </w:r>
    </w:p>
    <w:p>
      <w:r>
        <w:t>C/23590/2020 solde de 15'040 fr. devant être restitué à l'appelant. Ils seront mis à la charge de la partie intimée qui succombe et sera condamnée à verser 15'120 fr. à l'appelant à titre de remboursement partiel de ses avances (art. 106 al. 1 et 111 al. 2 aCPC). Au vu de la valeur litigieuse, de l'importance de la cause et de l'activité déployée par le conseil de l'appelant – qui a consisté à prendre connaissance des écritures et pièces de la partie adverse, rédiger une réponse de 14 pages, confectionner un bordereau de 9 pièces et assister à deux audiences –, la partie intimée sera en outre condamnée aux dépens de première instance de ce dernier, lesquels seront arrêtés à 15'000 fr., débours et TVA inclus (art. 84 et 85 RTFMC; art. 23 à 26 LaCC).</w:t>
      </w:r>
    </w:p>
    <w:p>
      <w:r>
        <w:rPr>
          <w:b/>
        </w:rPr>
        <w:t>E. 4.2</w:t>
      </w:r>
    </w:p>
    <w:p>
      <w:r>
        <w:t>Les frais judiciaires d'appel, comprenant les émoluments de décision sur suspension de la procédure, seront fixés à 15'000 fr. (art. 17 et 35 RTFMC) et partiellement compensés avec l'avance fournie par l'appelant, qui reste acquise à l'Etat de Genève à due concurrence (art. 111 al. 1 aCPC), le solde de 12'000 fr. devant être restitué à l'appelant. Ils seront mis à la charge de la partie intimée qui succombe et sera condamnée à verser 15'000 fr. à l'appelant à titre de remboursement partiel de son avance (art. 106 al. 1 et 111 al. 2 aCPC). La partie intimée sera également condamnée à verser à l'appelant le montant de 8'000 fr. à titre de dépens d'appel, débours et TVA compris (art. 84, 85 et 90 RTFMC; art. 23 à 26 LaCC).</w:t>
      </w:r>
    </w:p>
    <w:p>
      <w:r>
        <w:t>* * * * *</w:t>
      </w:r>
    </w:p>
    <w:p>
      <w:r>
        <w:t>- 15/16 -</w:t>
      </w:r>
    </w:p>
    <w:p>
      <w:r>
        <w:t>C/23590/2020 PAR CES MOTIFS, La Chambre civile : A la forme : Déclare recevable l'appel interjeté le 31 août 2022 par A______ contre le jugement JTPI/7909/2022 rendu le 29 juin 2022 par le Tribunal de première instance dans la cause C/23590/2020. Au fond : Annule ce jugement et, statuant à nouveau : Déboute B______ des fins de son action en libération de dette. Constate que B______ doit à A______ la somme de 790'800 fr. avec intérêts moratoires à 5% l'an dès le 1er janvier 2019. Prononce la mainlevée définitive de l'opposition formée au commandement de payer, poursuite n° 1______, à due concurrence. Arrête les frais judiciaires de première instance à 15'120 fr., les met à la charge de B______ et les compense partiellement avec les avances versées, acquises à l'Etat de Genève à due concurrence. Condamne B______ à verser à A______ 15'120 fr. à titre de remboursement des frais judiciaires de première instance et 15'000 fr. à titre de dépens de première instance. Invite les Services financiers du Pouvoir judiciaire à rembourser à A______ le solde de ses avances en 15'040 fr. Déboute les parties de toutes autres conclusions. Sur les frais : Arrête les frais judiciaires d'appel à 15'000 fr., les met à la charge de B______ et les compense partiellement avec l'avance versée, acquise à l'Etat de Genève à due concurrence. Condamne B______ à verser à A______ 15'000 fr. à titre de remboursement des frais judiciaires d'appel et 8'000 fr. à titre de dépens d'appel. Invite les Services financiers du Pouvoir judiciaire à rembourser à A______ le solde de son avance en 12'000 fr.</w:t>
      </w:r>
    </w:p>
    <w:p>
      <w:r>
        <w:t>- 16/16 -</w:t>
      </w:r>
    </w:p>
    <w:p>
      <w:r>
        <w:t>C/23590/2020</w:t>
      </w:r>
    </w:p>
    <w:p>
      <w:r>
        <w:t>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