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ACJC/699/2024 vom 31. Mai 2024</w:t>
      </w:r>
    </w:p>
    <w:p>
      <w:r>
        <w:t>GE Cour de justice, 2024-05-31, FR</w:t>
      </w:r>
    </w:p>
    <w:p>
      <w:r>
        <w:rPr>
          <w:b/>
        </w:rPr>
        <w:t xml:space="preserve">Quelle: </w:t>
      </w:r>
      <w:r>
        <w:t>https://mcp.opencaselaw.ch/entscheid/ge_gerichte_ACJC_699_2024</w:t>
      </w:r>
    </w:p>
    <w:p>
      <w:r>
        <w:t>FR: GE_GERICHTE ACJC/699/2024 du 31 mai 2024</w:t>
      </w:r>
    </w:p>
    <w:p>
      <w:r>
        <w:t>IT: GE_GERICHTE ACJC/699/2024 del 31 maggio 2024</w:t>
      </w:r>
    </w:p>
    <w:p>
      <w:pPr>
        <w:pStyle w:val="Heading2"/>
      </w:pPr>
      <w:r>
        <w:t>Volltext</w:t>
      </w:r>
    </w:p>
    <w:p>
      <w:r>
        <w:t>Le présent arrêt est communiqué aux parties, par plis recommandés du 31 mai 2024.</w:t>
      </w:r>
    </w:p>
    <w:p>
      <w:r>
        <w:t>REPUBLIQUE ET</w:t>
      </w:r>
    </w:p>
    <w:p>
      <w:r>
        <w:t>CANTON DE GENEVE POUVOIR JUDICIAIRE C/21388/2023 ACJC/699/2022 ARRÊT DE LA COUR DE JUSTICE Chambre civile DU MARDI 28 MAI 2024</w:t>
      </w:r>
    </w:p>
    <w:p>
      <w:r>
        <w:t>Entre Monsieur A______, domicilié ______, appelant d'une ordonnance rendue par la 6ème Chambre du Tribunal de première instance de ce canton le 4 décembre 2023, représenté par Me Daniela LINHARES, avocate, MALBUISSON Avocats, Galerie Jean-Malbuisson 15, case postale 1648, 1211 Genève 1, et Madame B______, domiciliée ______, intimée, représentée par Me Sandrine TORNARE, avocate, rue des Etuves 5, case postale 2032, 1211 Genève 1.</w:t>
      </w:r>
    </w:p>
    <w:p>
      <w:r>
        <w:t>- 2/3 -</w:t>
      </w:r>
    </w:p>
    <w:p>
      <w:r>
        <w:t>C/21388/2023 Vu, EN FAIT, l'appel avec requête d'effet suspensif formé par A______ le 22 décembre 2023 et l'appel formé par B______ le 28 décembre 2023 contre l'ordonnance OTPI/760/2023 rendue le 4 décembre 2023 par le Tribunal de première instance dans la cause C/21388/2023; Vu la réponse sur effet suspensif expédiée le 28 décembre 2023 par B______; Vu l'arrêt ACJC/1727/2023 de la Cour de justice (ci-après : la Cour) du 29 décembre 2023 rejetant la requête d’effet suspensif; Vu les réponses au fond de B______ du 8 janvier 2024 et de A______ du 19 janvier 2024; Attendu que par courriers expédiés le 29 janvier 2024, les parties ont informé la Cour de ce qu’elles avaient entrepris des négociations et ont sollicité la suspension de la procédure; Vu l’arrêt ACJC/120/2024 de la Cour du 1er février 2024 ordonnant la suspension de la procédure, celle-ci devant être reprise à la requête de la partie la plus diligente; Attendu que par courrier du 15 mai 2024, B______ a sollicité la reprise de la procédure, au motif que le processus de médiation entre les parties avait pris fin, aucun accord amiable n’ayant pu être trouvé ; qu’elle a également sollicité la fixation de la suite de la procédure ; Considérant, EN DROIT, qu’il convient d’ordonner la reprise de la présente procédure; Que la cause sera gardée à juger, l’instruction écrite des appels étant déjà terminée. Qu’il sera statué sur les frais de la présente décision avec la décision finale (art. 104 al. 1 CPC). * * * * *</w:t>
      </w:r>
    </w:p>
    <w:p>
      <w:r>
        <w:t>- 3/3 -</w:t>
      </w:r>
    </w:p>
    <w:p>
      <w:r>
        <w:t>C/21388/2023 PAR CES MOTIFS, La Chambre civile : Préalablement : Ordonne la reprise de la procédure C/21388/2023. Dit qu’il sera statué sur les frais de la présente décision avec la décision finale. Cela fait : Dit que la cause est gardée à juger. Siégeant : Madame Paola CAMPOMAGNANI, présidente; Monsieur Laurent RIEBEN, Monsieur Ivo BUETTI,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