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ACJC/698/2016 vom 23. Mai 2016</w:t>
      </w:r>
    </w:p>
    <w:p>
      <w:r>
        <w:t>GE Cour de justice, 2016-05-23, FR</w:t>
      </w:r>
    </w:p>
    <w:p>
      <w:r>
        <w:rPr>
          <w:b/>
        </w:rPr>
        <w:t xml:space="preserve">Quelle: </w:t>
      </w:r>
      <w:r>
        <w:t>https://mcp.opencaselaw.ch/entscheid/ge_gerichte_ACJC_698_2016</w:t>
      </w:r>
    </w:p>
    <w:p>
      <w:r>
        <w:t>FR: GE_GERICHTE ACJC/698/2016 du 23 mai 2016</w:t>
      </w:r>
    </w:p>
    <w:p>
      <w:r>
        <w:t>IT: GE_GERICHTE ACJC/698/2016 del 23 maggio 2016</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prescrit et selon la forme requis par la loi (art. 321 al. 1 et 2 CPC), le recours est recevable.</w:t>
      </w:r>
    </w:p>
    <w:p>
      <w:r>
        <w:rPr>
          <w:b/>
        </w:rPr>
        <w:t>E. 1.2</w:t>
      </w:r>
    </w:p>
    <w:p>
      <w:r>
        <w:t>Dans le cadre d'un recours, l'autorité a un plein pouvoir d'examen en droit, mais un pouvoir limité à l'arbitraire en fait, n'examinant que les griefs formulés et</w:t>
      </w:r>
    </w:p>
    <w:p>
      <w:r>
        <w:t>- 5/8 -</w:t>
      </w:r>
    </w:p>
    <w:p>
      <w:r>
        <w:t>C/17653/2015 motivés par le recourant (art. 320 CPC; HOHL, Procédure civile, Tome II, 2ème éd., 2010, n. 2307). Le recours étant instruit en procédure sommaire, la maxime des débats s'applique et la preuve des faits allégués doit être apportée par titre (art. 55 al. 1, 255 let. a a contrario et 254 CPC). En outre, la maxime de disposition s'applique (art. 58 al. 1 CPC).</w:t>
      </w:r>
    </w:p>
    <w:p>
      <w:r>
        <w:rPr>
          <w:b/>
        </w:rPr>
        <w:t>E. 2</w:t>
      </w:r>
    </w:p>
    <w:p>
      <w:r>
        <w:t>La recourante fait grief au Tribunal d'avoir retenu qu'elle n'avait pas rendu suffisamment vraisemblable que les titres de mainlevée n'étaient pas signés de sa main en tenant compte du complexe de fait, alors qu'une expertise démontre qu'il ne s'agit pas de sa signature. 2.1.1 Selon l'art. 82 al. 1 LP, le créancier dont la poursuite se fonde sur une reconnaissance de dette constatée par acte authentique ou sous seing privé peut requérir la mainlevée provisoire.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La procédure de mainlevée provisoire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déduite en poursuite - et lui attribue force exécutoire (ATF 139 III 444 consid. 4.1.1; 132 III 140 consid. 4.1.1). 2.1.2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arrêt du Tribunal fédéral 5A_473/2015 du</w:t>
      </w:r>
    </w:p>
    <w:p>
      <w:r>
        <w:rPr>
          <w:b/>
        </w:rPr>
        <w:t>E. 2.2</w:t>
      </w:r>
    </w:p>
    <w:p>
      <w:r>
        <w:t>En l'espèce, la recourante a produit une expertise privée constatant que les différences entre sa signature et celles dont elle affirme ne pas être l'auteur « laissent à penser » qu'il s'agit de signatures de personnes différentes. Si l'expert a pris des précautions en évitant d'affirmer catégoriquement que ces signatures émanent de personnes différentes, un simple examen visuel des copies produites permet de constater que celles-ci n'ont rien de semblable si ce n'est les lettres qui les composent. L'expert a relevé que le changement de style entre les signatures ne peut pas s'expliquer par l'évolution naturelle du paraphe de la recourante. En effet, il ne serait pas cohérent que les signatures de cette dernière soient graphiquement proches en 2007 et 2013 mais que celles apposées en 2008 et 2010 soient enfantines et non comparables avec celle de 2007. Le juge de la mainlevée devant se contenter d'examiner la force exécutoire du titre qui lui est soumis, il n'a pas à tenir compte du complexe de faits entourant la signature des actes litigieux. Il ne peut être notamment reproché à la recourante de ne pas avoir déposé plainte pénale à l'encontre de sa mère. Seule compte l'authenticité des signatures apposées sur les documents invoqués comme titre de mainlevée. Au vu de l'examen des titres et de l'expertise, il est donc plus vraisemblable que la signature figurant sur lesdits documents soit falsifiée qu'authentique. Dès lors, les documents ne constituent pas un titre de mainlevée.</w:t>
      </w:r>
    </w:p>
    <w:p>
      <w:r>
        <w:t>- 7/8 -</w:t>
      </w:r>
    </w:p>
    <w:p>
      <w:r>
        <w:t>C/17653/2015 Par conséquent, le jugement attaqué sera annulé et la requête de mainlevée provisoire sera rejetée. 3. L'intimée, qui succombe, supportera les frais de première instance et de recours (art. 106 al. 1 CPC). Les frais judiciaires seront fixés à 2'500 fr. au total (1'000 fr. pour la première instance et 1'500 fr. pour la seconde instance, décision sur effet suspensif compris; art. 48 et 61 al. 1 OELP). Ils seront compensés avec les avances de frais effectuées par les parties (art. 111 al. 1 CPC), qui restent acquises à l'Etat. L'intimée sera condamnée à restituer à la recourante la somme de 1'500 fr. qu'elle a versée à titre d'avance de frais (art. 111 al. 2 CPC). L'intimée sera également condamnée aux dépens (art. 106 al. 1 et 3 CPC). La quotité des dépens fixée par le premier juge à 5'000 fr. n'est pas contestée par l'intimée et est d'ailleurs conforme aux dispositions des art. 85 et 89 RTFMC. Les dépens de recours seront arrêtés à 2'000 fr., débours et TVA compris (art. 96 et 105 al. 2 CPC; art. 85, 89 et 90 RTFMC; art. 25 et 26 LaCC; art. 25 LTVA). * * * * *</w:t>
      </w:r>
    </w:p>
    <w:p>
      <w:r>
        <w:t>- 8/8 -</w:t>
      </w:r>
    </w:p>
    <w:p>
      <w:r>
        <w:t>C/17653/2015 PAR CES MOTIFS, La Chambre civile : A la forme : Déclare recevable le recours interjeté le 19 février 2016 par A______ contre le jugement JTPI/1533/2016 rendu le 4 février 2016 par le Tribunal de première instance dans la cause C/17653/2015-2 SML. Au fond : Annule le jugement attaqué et, statuant à nouveau : Déboute B______ des fins de sa requête en mainlevée provisoire de l'opposition formée au commandement de payer, poursuite n° 1______. Déboute les parties de toutes autres conclusions. Sur les frais : Arrête les frais judiciaires de première instance et de recours à 2'500 fr., les met à la charge de B______ et les compense avec les avances effectuées par les parties, qui restent acquises à l'Etat de Genève. Condamne B______ à verser à A______ 1'500 fr. à titre de frais judiciaires de recours. Condamne B______ à verser à A______ 7'000 fr. à titre de dépens de première instance et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novembre 2015 consid. 3). Une reconnaissance de dette peut découler du rapprochement de plusieurs pièces, pour autant que les éléments nécessaires en résultent (ATF 136 III 627 consid. 2 et les références citées; arrêt du Tribunal fédéral 5A_473/2015 précité). 2.1.3 Lorsque le poursuivi conteste l'authenticité de la signature apposée sur la reconnaissance de dette valant titre de mainlevée provisoire, il doit rendre</w:t>
      </w:r>
    </w:p>
    <w:p>
      <w:r>
        <w:t>- 6/8 -</w:t>
      </w:r>
    </w:p>
    <w:p>
      <w:r>
        <w:t>C/17653/2015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4.1.2 et les références; arrêt du Tribunal fédéral 5A_435/2015 du 13 octobre 2015 consid. 3.2.1.2). Toutefois, pour refuser sans arbitraire le moyen libératoire du poursuivi, le juge n'a pas à être convaincu que l'imitation de la signature est exclue; il suffit que celle-ci ne soit pas plus vraisemblable que son authenticité (arrêt du Tribunal fédéral 5A_435/2015 précité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