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ACJC/696/2016 vom 23. Mai 2016</w:t>
      </w:r>
    </w:p>
    <w:p>
      <w:r>
        <w:t>GE Cour de justice, 2016-05-23, FR</w:t>
      </w:r>
    </w:p>
    <w:p>
      <w:r>
        <w:rPr>
          <w:b/>
        </w:rPr>
        <w:t xml:space="preserve">Quelle: </w:t>
      </w:r>
      <w:r>
        <w:t>https://mcp.opencaselaw.ch/entscheid/ge_gerichte_ACJC_696_2016</w:t>
      </w:r>
    </w:p>
    <w:p>
      <w:r>
        <w:t>FR: GE_GERICHTE ACJC/696/2016 du 23 mai 2016</w:t>
      </w:r>
    </w:p>
    <w:p>
      <w:r>
        <w:t>IT: GE_GERICHTE ACJC/696/2016 del 23 maggio 2016</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1.2</w:t>
      </w:r>
    </w:p>
    <w:p>
      <w:r>
        <w:t>Dans le cadre d'un recours, le pouvoir d'examen de la Cour est limité à la violation du droit et à la constatation manifestement inexacte des faits (art. 320 CPC).</w:t>
      </w:r>
    </w:p>
    <w:p>
      <w:r>
        <w:t>- 4/7 -</w:t>
      </w:r>
    </w:p>
    <w:p>
      <w:r>
        <w:t>C/24006/2015 L'autorité de recours a un plein pouvoir d'examen en droit, mais un pouvoir limité à l'arbitraire en fait, n'examinant par ailleurs que les griefs formulés et motivés par le recourant (HOHL/DE PORET/BORTOLASO/AGUET, Procédure civile, T. II, 2e éd., Berne 2010, n. 2307).</w:t>
      </w:r>
    </w:p>
    <w:p>
      <w:r>
        <w:rPr>
          <w:b/>
        </w:rPr>
        <w:t>E. 1.3</w:t>
      </w:r>
    </w:p>
    <w:p>
      <w:r>
        <w:t>La procédure de mainlevée est régie par la maxime des débats (art. 55 al. 1 CPC). La preuve est apportée par titre (art. 254 al. 1 CPC).</w:t>
      </w:r>
    </w:p>
    <w:p>
      <w:r>
        <w:rPr>
          <w:b/>
        </w:rPr>
        <w:t>E. 2.1</w:t>
      </w:r>
    </w:p>
    <w:p>
      <w:r>
        <w:t>Aux termes de l'art. 80 al. 1 LP, le créancier qui est au bénéfice d'un jugement exécutoire peut requérir du juge la mainlevée définitive de l'opposition.</w:t>
      </w:r>
    </w:p>
    <w:p>
      <w:r>
        <w:t>Sont assimilés à des jugements les décisions des autorités administratives suisses (art. 80 al. 2 ch. 2 LP).</w:t>
      </w:r>
    </w:p>
    <w:p>
      <w:r>
        <w:t>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rPr>
          <w:b/>
        </w:rPr>
        <w:t>E. 2.2</w:t>
      </w:r>
    </w:p>
    <w:p>
      <w:r>
        <w:t>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Le juge n'a ni à revoir ni à interpréter le titre qui lui est soumis (ATF 140 III 180 consid. 5.2.1; 124 III 501 consid. 3a; arrêt du Tribunal fédéral 5A_58/2015 du 28 avril 2015 consid. 3 non publié aux ATF 141 III 185).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t>- 5/7 -</w:t>
      </w:r>
    </w:p>
    <w:p>
      <w:r>
        <w:t>C/24006/2015 La requête en mainlevée doit ainsi être rejetée lorsque la cause de l'obligation figurant sur le commandement de payer et dans le titre de mainlevée ne sont pas identiques (STAEHELIN, Commentaire bâlois, SchKG I, 1998, n. 37 ad art. 80 LP).</w:t>
      </w:r>
    </w:p>
    <w:p>
      <w:r>
        <w:rPr>
          <w:b/>
        </w:rPr>
        <w:t>E. 2.3</w:t>
      </w:r>
    </w:p>
    <w:p>
      <w:r>
        <w:t>A teneur de l'art. 8 de la loi sur le tourisme (LTour – RS GE I 1 60), entrée en vigueur le 1er janvier 1994, il est perçu une taxe de séjour, dont le produit est affecté au financement de l'accueil, de l'information et de l'assistance touristiques, ainsi que de manifestations et d'installations directement liées au tourisme, créées pour les hôtes et utiles de manière prépondérante à ceux-ci.</w:t>
      </w:r>
    </w:p>
    <w:p>
      <w:r>
        <w:t>Il est perçu une taxe de promotion du tourisme auprès des entreprises qui exercent une activité économique ou commerciale bénéficiant des retombées directes ou indirectes du tourisme (art. 25 al. 1 LTour). La taxe de base ne peut être inférieure à 100 fr. et supérieure à 5'000 fr. (art. 25 al. 3 LTour). La taxe de base est pondérée en fonction de l'importance de l'établissement concerné, sur la base du nom d'employés de celui-ci (art. 25 al. 4 LTour).</w:t>
      </w:r>
    </w:p>
    <w:p>
      <w:r>
        <w:t>L'autorité compétente pour percevoir la taxe de promotion du tourisme est le département des finances, soit pour lui l'administration fiscale cantonale (art. 1 al. 2 du Règlement d'application de la loi sur le tourisme (RTour – RS GE I 1 60.01).</w:t>
      </w:r>
    </w:p>
    <w:p>
      <w:r>
        <w:rPr>
          <w:b/>
        </w:rPr>
        <w:t>E. 2.4</w:t>
      </w:r>
    </w:p>
    <w:p>
      <w:r>
        <w:t>En l'occurrence, il est établi et non contesté que le bordereau du 22 janvier 2015 n'a pas fait l'objet d'une réclamation dans les trente jours, de sorte que ce bordereau est entré en force. Il s'ensuit qu'il s'agit d'un titre de mainlevée définitive, au sens de l'art. 80 LP.</w:t>
      </w:r>
    </w:p>
    <w:p>
      <w:r>
        <w:t>C'est dès lors à tort que le premier juge a, sans autre explication, retenu que les titres produits par le recourant valaient reconnaissance de dette et partant titre de mainlevée provisoire.</w:t>
      </w:r>
    </w:p>
    <w:p>
      <w:r>
        <w:t>L'intimée n'a, pour le surplus, fait valoir aucun moyen libératoire, au sens de l'art. 81 LP.</w:t>
      </w:r>
    </w:p>
    <w:p>
      <w:r>
        <w:rPr>
          <w:b/>
        </w:rPr>
        <w:t>E. 2.5</w:t>
      </w:r>
    </w:p>
    <w:p>
      <w:r>
        <w:t>Il s'ensuit que le recours sera admis, que la décision attaquée sera annulée, et qu'il sera statué à nouveau (art. 327 al. 3 let. b CPC) en ce sens que la mainlevée définitive de l'opposition formée au commandement de payer, poursuite n° 1______, sera accordée.</w:t>
      </w:r>
    </w:p>
    <w:p>
      <w:r>
        <w:rPr>
          <w:b/>
        </w:rPr>
        <w:t>E. 3</w:t>
      </w:r>
    </w:p>
    <w:p>
      <w:r>
        <w:t>Les frais de première instance, non contestés, ne seront pas revus et laissés à la charge de l'intimée.</w:t>
      </w:r>
    </w:p>
    <w:p>
      <w:r>
        <w:t>Compte tenu des motifs conduisant à l'annulation du jugement, les frais judiciaires du recours seront laissés à la charge de l'Etat (art. 107 al. 2 CPC).</w:t>
      </w:r>
    </w:p>
    <w:p>
      <w:r>
        <w:t>- 6/7 -</w:t>
      </w:r>
    </w:p>
    <w:p>
      <w:r>
        <w:t>C/24006/2015</w:t>
      </w:r>
    </w:p>
    <w:p>
      <w:r>
        <w:t>Il sera en conséquence ordonné aux Services financiers du Pouvoir judiciaire de restituer la somme de 300 fr. à l'ETAT DE GENEVE, soit pour lui l'Administration fiscale cantonale.</w:t>
      </w:r>
    </w:p>
    <w:p>
      <w:r>
        <w:t>Il n'y a pas lieu à allocation de dépens (art. 95 al. 3 let. c CPC).</w:t>
      </w:r>
    </w:p>
    <w:p>
      <w:r>
        <w:rPr>
          <w:b/>
        </w:rPr>
        <w:t>E. 4</w:t>
      </w:r>
    </w:p>
    <w:p>
      <w:r>
        <w:t>La valeur litigieuse des prétentions est inférieure à 30'000 fr. * * * * *</w:t>
      </w:r>
    </w:p>
    <w:p>
      <w:r>
        <w:t>- 7/7 -</w:t>
      </w:r>
    </w:p>
    <w:p>
      <w:r>
        <w:t>C/24006/2015 PAR CES MOTIFS, La Chambre civile : A la forme : Déclare recevable le recours interjeté le 1er mars 2016 par l'ETAT DE GENEVE, soit pour lui la PERCEPTION DE L'ADMINISTRATION FISCALE CANTONALE, contre le jugement JTPI/1812/2016 rendu le 8 février 2016 par le Tribunal de première instance dans la cause C/24006/2015-15 SML. Au fond : Annule le chiffre 1 du dispositif de ce jugement. Cela fait et statuant à nouveau sur ce point : Prononce la mainlevée définitive de l'opposition formée au commandement de payer, poursuite n° 1______. Confirme le jugement attaqué pour le surplus. Déboute les parties de toutes autres conclusions. Sur les frais de recours : Arrête les frais judiciaires à 300 fr. Les laisse à la charge de l'Etat. Ordonne aux Services financiers du Pouvoir judiciaire de restituer la somme de 300 fr. à l'ETAT DE GENEVE, soit pour lui la PERCEPTION DE L'ADMINISTRATION FISCALE CANTONALE.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