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ACJC/695/2022 vom 20. Mai 2022</w:t>
      </w:r>
    </w:p>
    <w:p>
      <w:r>
        <w:t>GE Cour de justice, 2022-05-20, FR</w:t>
      </w:r>
    </w:p>
    <w:p>
      <w:r>
        <w:rPr>
          <w:b/>
        </w:rPr>
        <w:t xml:space="preserve">Quelle: </w:t>
      </w:r>
      <w:r>
        <w:t>https://mcp.opencaselaw.ch/entscheid/ge_gerichte_ACJC_695_2022</w:t>
      </w:r>
    </w:p>
    <w:p>
      <w:r>
        <w:t>FR: GE_GERICHTE ACJC/695/2022 du 20 mai 2022</w:t>
      </w:r>
    </w:p>
    <w:p>
      <w:r>
        <w:t>IT: GE_GERICHTE ACJC/695/2022 del 20 maggio 2022</w:t>
      </w:r>
    </w:p>
    <w:p>
      <w:pPr>
        <w:pStyle w:val="Heading2"/>
      </w:pPr>
      <w:r>
        <w:t>Erwägungen</w:t>
      </w:r>
    </w:p>
    <w:p>
      <w:r>
        <w:rPr>
          <w:b/>
        </w:rPr>
        <w:t>E. 1</w:t>
      </w:r>
    </w:p>
    <w:p>
      <w:r>
        <w:t>La cause ne présente aucun élément d'extranéité, tant l'adoptant que l'adopté étant de nationalité suisse. La Chambre civile de la Cour de justice est compétente, tant ratione loci que ratione materiae (art. 268 al. 1 CC et art. 120 al. 1 let. c LOJ).</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conjoint (art. 264 c al. 1 ch. 1 CC). Le couple doit faire ménage commun depuis au moins trois ans (art. 264c al. 2 CC). La différence d'âge entre l'enfant et le ou les adoptants ne peut pas être inférieure à 16 ans ni supérieure à 45 ans (art. 264d al. 1 CC). L'adoption requiert le consentement du père et de la mère de l'enfant (art. 265a al. 1 CC). Selon l'art. 265 al. 1 CC, si l'enfant est capable de discernement son consentement à l'adoption est requis. En outre, lorsque l'adoptant a des descendants leur opinion doit être prise en considération (art. 268aquater al. 1 CC). Selon l’art. 267 al. 3 ch. 1 CC, les liens de filiation antérieurs sont rompus, sauf à l’égard du conjoint de l’adoptant.</w:t>
      </w:r>
    </w:p>
    <w:p>
      <w:r>
        <w:rPr>
          <w:b/>
        </w:rPr>
        <w:t>E. 2.2</w:t>
      </w:r>
    </w:p>
    <w:p>
      <w:r>
        <w:t>En l’espèce, le requérant vit à Genève avec son épouse, mère de l’adopté, depuis son mariage en septembre 2013, soit depuis plus de trois ans. Il s’occupe du mineur depuis cette même époque, lui prodiguant des soins et assumant son éducation, au même titre que sa mère biologique. Sa situation personnelle lui permet de prendre en charge l’enfant jusqu’à sa majorité et l’adoption ne porte pas une atteinte inéquitable à l’enfant du couple. Le rapport d’évaluation sociale expose que les liens qui unissent de fait l’adoptant et l’adopté sont des liens de nature filiale.</w:t>
      </w:r>
    </w:p>
    <w:p>
      <w:r>
        <w:t>- 4/5 -</w:t>
      </w:r>
    </w:p>
    <w:p>
      <w:r>
        <w:t>C/4441/2020 La condition de la différence d’âge entre l’adoptant et l’adopté est en outre remplie. L’adopté et sa mère ont donné leur consentement à l’adoption. Le père biologique du mineur a également donné son consentement. Il ressort de ce qui précède que l’adoption est manifestement dans l’intérêt du mineur et ne fera que formaliser les liens d’ores et déjà existants entre lui et l’adoptant. L’adoption requise sera ainsi prononcée, les liens de l’adopté avec sa mère n’étant pas rompus.</w:t>
      </w:r>
    </w:p>
    <w:p>
      <w:r>
        <w:rPr>
          <w:b/>
        </w:rPr>
        <w:t>E. 3.1</w:t>
      </w:r>
    </w:p>
    <w:p>
      <w:r>
        <w:t>L’enfant adopté acquiert le statut juridique d’un enfant du ou des parents adoptifs (art. 267 al. 1 CC).</w:t>
      </w:r>
    </w:p>
    <w:p>
      <w:r>
        <w:t>Son nom est déterminé par les dispositions relatives aux effets de la filiation (art. 267a al. 2 CC). L'enfant de conjoints qui portent un nom de famille commun acquiert ce nom (art. 270 al. 3 CC).</w:t>
      </w:r>
    </w:p>
    <w:p>
      <w:r>
        <w:t>L’enfant acquiert le droit de cité cantonal et communal du parent dont il porte le nom (art. 271 al. 1 CC).</w:t>
      </w:r>
    </w:p>
    <w:p>
      <w:r>
        <w:rPr>
          <w:b/>
        </w:rPr>
        <w:t>E. 3.2</w:t>
      </w:r>
    </w:p>
    <w:p>
      <w:r>
        <w:t>Dans le cas d’espèce, l’adopté portera désormais le nom [de] A______ et conservera son droit de cité, qui est le même que celui de l’adoptant.</w:t>
      </w:r>
    </w:p>
    <w:p>
      <w:r>
        <w:rPr>
          <w:b/>
        </w:rPr>
        <w:t>E. 4</w:t>
      </w:r>
    </w:p>
    <w:p>
      <w:r>
        <w:t>Les frais de la procédure, arrêtés à 1'000 fr., sont mis à la charge du requérant; ils sont entièrement couverts par l'avance de frais de même montant, laquelle est acquise à l'Etat de Genève (art. 2 RTFMC; art. 98, 101 et 111 CPC). * * * * *</w:t>
      </w:r>
    </w:p>
    <w:p>
      <w:r>
        <w:t>- 5/5 -</w:t>
      </w:r>
    </w:p>
    <w:p>
      <w:r>
        <w:t>C/4441/2020 PAR CES MOTIFS, La Chambre civile : Prononce l'adoption de l’enfant B______, né le ______ 2005 à G______ (Russie), originaire de F______(Genève), par A______, né le ______ 1980 à D______ (E______/France), originaire de F______(Genève). Dit que le lien de filiation entre C______, née ______ [nom de jeune fille] le ______ 1974 à G______ (Russie), originaire de F______(Genève), et l’enfant B______ n’est pas rompu. Dit que l’enfant B______ portera le nom [de] A______ et conservera son droit de cité, soit F______(Genève). Arrête les frais de la procédure à 1'000 fr., les met à la charge de A______ et dit qu’ils sont compensés entièrement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