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ACJC/691/2023 vom 13. Januar 2023</w:t>
      </w:r>
    </w:p>
    <w:p>
      <w:r>
        <w:t>GE Cour de justice, 2023-01-13, FR</w:t>
      </w:r>
    </w:p>
    <w:p>
      <w:r>
        <w:rPr>
          <w:b/>
        </w:rPr>
        <w:t xml:space="preserve">Quelle: </w:t>
      </w:r>
      <w:r>
        <w:t>https://mcp.opencaselaw.ch/entscheid/ge_gerichte_ACJC_691_2023</w:t>
      </w:r>
    </w:p>
    <w:p>
      <w:r>
        <w:t>FR: GE_GERICHTE ACJC/691/2023 du 13 janvier 2023</w:t>
      </w:r>
    </w:p>
    <w:p>
      <w:r>
        <w:t>IT: GE_GERICHTE ACJC/691/2023 del 13 gennaio 2023</w:t>
      </w:r>
    </w:p>
    <w:p>
      <w:pPr>
        <w:pStyle w:val="Heading2"/>
      </w:pPr>
      <w:r>
        <w:t>Erwägungen</w:t>
      </w:r>
    </w:p>
    <w:p>
      <w:r>
        <w:rPr>
          <w:b/>
        </w:rPr>
        <w:t>E. 1.1</w:t>
      </w:r>
    </w:p>
    <w:p>
      <w:r>
        <w:t>La requête de sûretés a été déposée selon la forme prescrite, de sorte qu'elle est recevable.</w:t>
      </w:r>
    </w:p>
    <w:p>
      <w:r>
        <w:rPr>
          <w:b/>
        </w:rPr>
        <w:t>E. 1.2</w:t>
      </w:r>
    </w:p>
    <w:p>
      <w:r>
        <w:t>La requête de sûretés est soumise à la procédure sommaire (ACJC/244/2018 du 26 février 2018 consid. 1.2; ACJC/794/2017 du 16 juin 2017; ACJC/818/2015 du 8 juillet 2015 consid.2.5.1; RÜEGG/RÜEGG, Basler Kommentar ZPO, 3ème éd. 2017, n. 4 ad art. 100 CPC) et le juge se fondera essentiellement sur les allégations et preuves des parties (ACJC/938/2015 du 20 août 2015 consid. 2.1).</w:t>
      </w:r>
    </w:p>
    <w:p>
      <w:r>
        <w:t>- 3/7 -</w:t>
      </w:r>
    </w:p>
    <w:p>
      <w:r>
        <w:t>C/1756/2018</w:t>
      </w:r>
    </w:p>
    <w:p>
      <w:r>
        <w:rPr>
          <w:b/>
        </w:rPr>
        <w:t>E. 2</w:t>
      </w:r>
    </w:p>
    <w:p>
      <w:r>
        <w:t>La requérante fonde sa requête sur l'art. 99 al. 1 let. a CPC, au vu du domicile à l'étranger du cité.</w:t>
      </w:r>
    </w:p>
    <w:p>
      <w:r>
        <w:rPr>
          <w:b/>
        </w:rPr>
        <w:t>E. 2.1</w:t>
      </w:r>
    </w:p>
    <w:p>
      <w:r>
        <w:t>A teneur de l'art. 99 al. 1 let. a CPC – applicable en vertu de l'art. 11b LDIP –, le demandeur qui n'a pas de domicile ou de siège en Suisse doit, sur requête du défendeur, fournir des sûretés en garantie du paiement des dépens. Certaines conventions internationales – notamment la Convention de la Haye relative à la procédure civile du 1er mars 1954 (RS 0.274.12; art. 17) ou celle du 25 octobre 1980 tendant à faciliter l'accès international à la justice (RS 0.274.133; art. 14) – ou accords bilatéraux conclus entre la Suisse et un Etat dont le "demandeur" étranger serait résident ou ressortissant peuvent exclure le paiement de telles sûretés (art. 2 CPC). L'Arabie saoudite n'est pas partie à ces conventions.</w:t>
      </w:r>
    </w:p>
    <w:p>
      <w:r>
        <w:rPr>
          <w:b/>
        </w:rPr>
        <w:t>E. 2.2</w:t>
      </w:r>
    </w:p>
    <w:p>
      <w:r>
        <w:t>En l'espèce, le cité ne conteste pas être domicilié dans un Etat qui n'est pas lié à la Suisse par un traité prévoyant une dispense de fournir des sûretés. Le versement de sûretés en garantie des dépens doit donc être admis dans son principe au vu de son domicile à l'étranger.</w:t>
      </w:r>
    </w:p>
    <w:p>
      <w:r>
        <w:rPr>
          <w:b/>
        </w:rPr>
        <w:t>E. 3</w:t>
      </w:r>
    </w:p>
    <w:p>
      <w:r>
        <w:t>Le montant desdites sûretés doit être fixé de la manière suivante.</w:t>
      </w:r>
    </w:p>
    <w:p>
      <w:r>
        <w:rPr>
          <w:b/>
        </w:rPr>
        <w:t>E. 3.1</w:t>
      </w:r>
    </w:p>
    <w:p>
      <w:r>
        <w:t>Les sûretés doivent couvrir en principe les dépens présumés que l'appelant aurait à verser à l'intimé en cas de perte totale du procès (TAPPY, Commentaire romand, Code de procédure civile, 2ème éd., 2019, n. 7 ad art. 100 CPC; RÜEGG/RÜEGG,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w:t>
      </w:r>
    </w:p>
    <w:p>
      <w:r>
        <w:t>- 4/7 -</w:t>
      </w:r>
    </w:p>
    <w:p>
      <w:r>
        <w:t>C/1756/2018 Selon le règlement fixant le tarif des frais en matière civile du 22 décembre 2010 (RTFMC - E 1 05.10), le défraiement est, sans effet sur les rapports contractuels entre l'avocat et son client, fixé d'après l'importance de la cause, ses difficultés, l'ampleur du travail et le temps employé (art. 84 RTFMC). Pour une valeur litigieuse au-delà de 10'000'000 fr., le défraiement d'un représentant professionnel est de 106'400 fr. plus 0,5% de la valeur litigieuse dépassant 10'000'000 fr. (art. 85 RTFMC). Le défraiement peut s'en écarter de plus ou moins 10% pour tenir compte des éléments rappelés à l'article 84 RTFMC. Pour les procédures d'appel ou de recours, le défraiement est réduit dans la règle d'un à deux tiers par rapport au tarif de l'article 85 RTFMC (art. 90 RTFMC).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w:t>
      </w:r>
    </w:p>
    <w:p>
      <w:r>
        <w:t>En l'espèce, la valeur litigieuse pertinente pour le calcul des sûretés peut être chiffrée à 10'277'800 fr. selon les parties. En application de l'art. 85 RTFMC, le défraiement auquel la requérante pourrait prétendre en cas de gain du procès pour une telle valeur litigieuse serait, en chiffres ronds, de 107'388 fr. Le litige porte certes sur un montant élevé, ce qui ne suffit toutefois pas en lui- même à rendre le litige complexe. Il apparaît, à ce stade, que l'appel porte sur des questions ciblées, en particulier celle du droit de propriété de l'appelant sur des bijoux, et l'appréciation des preuves à cet égard, et non sur des questions juridiques compliquées. Il ne se justifie dès lors pas de procéder à une majoration de 10% en application de l'art. 85 RTFMC, comme le souhaiterait la requérante, ni d'ailleurs à une réduction de 10%, comme le réclame le cité. Ainsi, après réduction selon l'art. 90 RTFMC – qui constitue la règle en appel, à laquelle aucun motif ne commande de déroger en l'espèce – et ajout des débours et de la TVA de 7,7%., le montant du défraiement est compris entre 39'973 fr. et 79'649 fr. Au vu de ce qui précède, le montant des sûretés en garantie des dépens sera fixé, compte tenu de l'ensemble des circonstances du cas d'espèce et notamment sa valeur litigieuse, sa difficulté et l'ampleur du travail qu'il implique, à 50'000 fr. Les sûretés ainsi fixées devront être fournies par le cité en espèces, auprès des Services financiers du Pouvoir judiciaire, ou sous forme de garantie d'une banque établie en Suisse ou d'une société d'assurance autorisée à exercer en Suisse</w:t>
      </w:r>
    </w:p>
    <w:p>
      <w:r>
        <w:t>- 5/7 -</w:t>
      </w:r>
    </w:p>
    <w:p>
      <w:r>
        <w:t>C/1756/2018 (art. 100 al. 1 CPC) et ce dans un délai de 30 jours à compter de la notification du présent arrêt (art. 101 al. 1 CPC). Si les sûretés ne devaient pas être versées à l'échéance d'un délai supplémentaire, la Cour n'entrera pas en matière sur l'appel (art. 101 al. 1 et 3 CPC).</w:t>
      </w:r>
    </w:p>
    <w:p>
      <w:r>
        <w:rPr>
          <w:b/>
        </w:rPr>
        <w:t>E. 4</w:t>
      </w:r>
    </w:p>
    <w:p>
      <w:r>
        <w:t>Le cité, qui ne s'était pas opposé, sur le principe, au versement de sûretés, ne succombe pas à cet égard. Le montant à verser est par ailleurs fixé entre celui réclamé par une partie et celui proposé par l'autre. Les frais seront dès lors mis à la charge de chaque partie pour moitié.</w:t>
      </w:r>
    </w:p>
    <w:p>
      <w:r>
        <w:t>Les frais judiciaires seront arrêtés à 2'000 fr. (art. 21 RTFMC), de sorte que le cité sera condamné à verser 1'000 fr. à la requérante qui en a fait l'avance.</w:t>
      </w:r>
    </w:p>
    <w:p>
      <w:r>
        <w:t>Chaque partie supportera ses propres dépens. * * * * *</w:t>
      </w:r>
    </w:p>
    <w:p>
      <w:r>
        <w:t>- 6/7 -</w:t>
      </w:r>
    </w:p>
    <w:p>
      <w:r>
        <w:t>C/1756/2018 PAR CES MOTIFS, La Chambre civile : Statuant sur requête de fourniture de sûretés en garantie des dépens : A la forme: Déclare recevable la requête en fourniture de sûretés en garantie des dépens formée par C______ SA. Au fond : Condamne A______ à fournir des sûretés en garantie des dépens d'appel de C______ SA à hauteur de 50'000 fr., en espèces auprès des Services financiers du Pouvoir judiciaire ou sous forme de garantie d'une banque établie en Suisse ou d'une société d'assurance autorisée à exercer en Suisse. Impartit à A______ un délai de 30 jours à compter de la notification du présent arrêt pour constituer les sûretés ainsi fixées. Dit que si les sûretés ne devaient pas être versées à l'échéance d'un délai supplémentaire, la Cour n'entrera pas en matière sur l'appel. Déboute les parties de toutes autres conclusions Sur les frais : Arrête les frais judicaires à 2'000 fr., les met à la charge de chaque partie pour moitié et dit qu'ils sont compensés avec l'avance fournie, qui reste acquise à l'Etat de Genève. Condamne A______ à verser 1'000 fr. à C______ SA à titre de frais judiciaires. Dit que chaque partie supporte ses propres dépens. Siégeant : Monsieur Laurent RIEBEN, président; Madame Paola CAMPOMAGNANI et Madame Ursula ZEHETBAUER GHAVAMI, juges; Madame Sophie MARTINEZ, greffière.</w:t>
      </w:r>
    </w:p>
    <w:p>
      <w:r>
        <w:t>- 7/7 -</w:t>
      </w:r>
    </w:p>
    <w:p>
      <w:r>
        <w:t>C/1756/2018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