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ACJC/691/2018 vom 4. Juni 2018</w:t>
      </w:r>
    </w:p>
    <w:p>
      <w:r>
        <w:t>GE Cour de justice, 2018-06-04, FR</w:t>
      </w:r>
    </w:p>
    <w:p>
      <w:r>
        <w:rPr>
          <w:b/>
        </w:rPr>
        <w:t xml:space="preserve">Quelle: </w:t>
      </w:r>
      <w:r>
        <w:t>https://mcp.opencaselaw.ch/entscheid/ge_gerichte_ACJC_691_2018</w:t>
      </w:r>
    </w:p>
    <w:p>
      <w:r>
        <w:t>FR: GE_GERICHTE ACJC/691/2018 du 4 juin 2018</w:t>
      </w:r>
    </w:p>
    <w:p>
      <w:r>
        <w:t>IT: GE_GERICHTE ACJC/691/2018 del 4 giugno 2018</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En l'espèce, le recours a été interjeté dans le délai prévu par la loi.</w:t>
      </w:r>
    </w:p>
    <w:p>
      <w:r>
        <w:rPr>
          <w:b/>
        </w:rPr>
        <w:t>E. 1.2</w:t>
      </w:r>
    </w:p>
    <w:p>
      <w:r>
        <w:t>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w:t>
      </w:r>
    </w:p>
    <w:p>
      <w:r>
        <w:t>Selon l'art. 321 al. 1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w:t>
      </w:r>
    </w:p>
    <w:p>
      <w:r>
        <w:t>Il incombe au recourant non seulement d'exposer son point de vue sur le litige, mais aussi d'indiquer en quoi les motifs retenus en première instance sont erronés (RETORNAZ, L'appel et le recours, in Procédure civile suisse, Neuchâtel, 2010, ch. 173 et 174 p. 403).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w:t>
      </w:r>
    </w:p>
    <w:p>
      <w:r>
        <w:t>- 5/7 -</w:t>
      </w:r>
    </w:p>
    <w:p>
      <w:r>
        <w:t>C/21397/2017</w:t>
      </w:r>
    </w:p>
    <w:p>
      <w:r>
        <w:t>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op. cit., p. 264 s.; RETORNAZ, op. cit., n. 174 p. 403).</w:t>
      </w:r>
    </w:p>
    <w:p>
      <w:r>
        <w:t>Une motivation succincte ou sommaire peut, suivant les circonstances, être suffisante (REETZ/THEILER, in Kommentar zur Schweizerischen Zivilprozess- ordnung (ZPO), Zurich/Bâle/Genève, 2003,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w:t>
      </w:r>
    </w:p>
    <w:p>
      <w:r>
        <w:rPr>
          <w:b/>
        </w:rPr>
        <w:t>E. 1.3</w:t>
      </w:r>
    </w:p>
    <w:p>
      <w:r>
        <w:t>En l'espèce, la recourante évoque dans ses conclusions un montant supérieur à celui articulé en première instance, ce qui n'est pas recevable. En outre, elle n'a formulé aucune critique contre le jugement rendu par le Tribunal qui a partiellement fait droit à sa requête de mainlevée. Elle s'est bornée à reprendre ses explications de première instance, sans chercher à contrer les arguments développés par le premier juge.</w:t>
      </w:r>
    </w:p>
    <w:p>
      <w:r>
        <w:t>Il s'ensuit que le recours n'est pas recevable.</w:t>
      </w:r>
    </w:p>
    <w:p>
      <w:r>
        <w:t>Il en va de même des conclusions pécuniaires de l'intimé (art. 323 CPC).</w:t>
      </w:r>
    </w:p>
    <w:p>
      <w:r>
        <w:rPr>
          <w:b/>
        </w:rPr>
        <w:t>E. 2</w:t>
      </w:r>
    </w:p>
    <w:p>
      <w:r>
        <w:t>A supposer qu'il ait été recevable, le recours n'aurait en tout état pas été fondé.</w:t>
      </w:r>
    </w:p>
    <w:p>
      <w:r>
        <w:rPr>
          <w:b/>
        </w:rPr>
        <w:t>E. 2.1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t>Au sens de l'art. 82 al. 1 LP, constitue une reconnaissance de dette l'acte authentique ou sous seing privé signé par le poursuivi, d'où ressort sa volonté de payer au poursuivant, sans réserve ni condition, une somme d'argent déterminée, ou aisément déterminable, et exigible (ATF 136 III 624 consid. 4.2.2, 627 consid. 2 et les arrêts cités).</w:t>
      </w:r>
    </w:p>
    <w:p>
      <w:r>
        <w:t>- 6/7 -</w:t>
      </w:r>
    </w:p>
    <w:p>
      <w:r>
        <w:t>C/21397/2017</w:t>
      </w:r>
    </w:p>
    <w:p>
      <w:r>
        <w:t>Le contrat de bail signé constitue une reconnaissance de dette pour les loyers échus, si l'objet du contrat a été mis à la disposition du locataire et n'est pas entaché de défauts tels que l'usage s'en trouve affecté (KRAUSKOPF, La mainlevée provisoire, quelques jurisprudences récentes, in JdT 2008 II 23; GILLIERON, op. cit., n. 50 ad art. 82 LP).</w:t>
      </w:r>
    </w:p>
    <w:p>
      <w:r>
        <w:rPr>
          <w:b/>
        </w:rPr>
        <w:t>E. 2.2</w:t>
      </w:r>
    </w:p>
    <w:p>
      <w:r>
        <w:t>Comme l'a retenu à bon droit le premier juge, le contrat de sous-bail ne constitue pas un titre de mainlevée s'agissant d'une supposée créance allant au- delà du loyer du mois de septembre 2006, ainsi que des intérêts moratoires.</w:t>
      </w:r>
    </w:p>
    <w:p>
      <w:r>
        <w:rPr>
          <w:b/>
        </w:rPr>
        <w:t>E. 3</w:t>
      </w:r>
    </w:p>
    <w:p>
      <w:r>
        <w:t>La recourante, qui succombe, sera condamnée aux frais du recours (art. 106 al. 1 CPC), arrêtés à 300 fr. (art. 48 et 61 al. 1 OELP). Ils seront compensés avec l'avance de même montant fournie par la recourante, qui reste acquise à l'Etat de Genève (art. 111 al. 1 CPC).</w:t>
      </w:r>
    </w:p>
    <w:p>
      <w:r>
        <w:t>Il n'y a pas lieu à l'allocation de dépens, l'intimé agissant en personne et n'ayant pas justifié de démarches particulières (art. 95 al. 3 let. c CPC). * * * * *</w:t>
      </w:r>
    </w:p>
    <w:p>
      <w:r>
        <w:t>- 7/7 -</w:t>
      </w:r>
    </w:p>
    <w:p>
      <w:r>
        <w:t>C/21397/2017 PAR CES MOTIFS, La Chambre civile : Déclare irrecevable le recours interjeté le 21 mars 2018 par A______ contre le jugement JTPI/3899/2018 rendu le 9 mars 2018 par le Tribunal de première instance dans la cause C/21397/2017-24 SML. Arrête les frais judiciaires du recours à 300 fr., les met à la charge de A______ et les compense avec l'avance de frais fournie par elle,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