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ACJC/691/2015 vom 18. August 2014</w:t>
      </w:r>
    </w:p>
    <w:p>
      <w:r>
        <w:t>GE Cour de justice, 2014-08-18, FR</w:t>
      </w:r>
    </w:p>
    <w:p>
      <w:r>
        <w:rPr>
          <w:b/>
        </w:rPr>
        <w:t xml:space="preserve">Quelle: </w:t>
      </w:r>
      <w:r>
        <w:t>https://mcp.opencaselaw.ch/entscheid/ge_gerichte_ACJC_691_2015</w:t>
      </w:r>
    </w:p>
    <w:p>
      <w:r>
        <w:t>FR: GE_GERICHTE ACJC/691/2015 du 18 août 2014</w:t>
      </w:r>
    </w:p>
    <w:p>
      <w:r>
        <w:t>IT: GE_GERICHTE ACJC/691/2015 del 18 agosto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les conclusions prises par l'appelant au dernier état de la procédure de première instance étaient de 298'832 fr. 55, de sorte que le seuil d'admissibilité de l'appel est largement atteint. L'appel peut être formé pour violation du droit ou constatation inexacte des faits (art. 310 CPC).</w:t>
      </w:r>
    </w:p>
    <w:p>
      <w:r>
        <w:t>- 13/17 -</w:t>
      </w:r>
    </w:p>
    <w:p>
      <w:r>
        <w:t>C/17933/2012</w:t>
      </w:r>
    </w:p>
    <w:p>
      <w:r>
        <w:rPr>
          <w:b/>
        </w:rPr>
        <w:t>E. 2.1</w:t>
      </w:r>
    </w:p>
    <w:p>
      <w:r>
        <w:t>Selon l'art. 311 CPC, l'appel, écrit et motivé, doit être introduit auprès de l'instance d'appel dans les trente jours à compter de la notification de la décision, laquelle doit être jointe au dossier d'appel.</w:t>
      </w:r>
    </w:p>
    <w:p>
      <w:r>
        <w:rPr>
          <w:b/>
        </w:rPr>
        <w:t>E. 2.2</w:t>
      </w:r>
    </w:p>
    <w:p>
      <w:r>
        <w:t>En l'occurrence, l'acte d'appel formé a été déposé au greffe de la Cour de céans dans le délai légal de trente jours. Par ailleurs, l'appelant énonce les griefs de fait ou de droit qui, à ses yeux, justifient l'appel. L'appel est dès lors recevable.</w:t>
      </w:r>
    </w:p>
    <w:p>
      <w:r>
        <w:rPr>
          <w:b/>
        </w:rPr>
        <w:t>E. 3</w:t>
      </w:r>
    </w:p>
    <w:p>
      <w:r>
        <w:t>Dans le cas présent, il convient d'analyser la validité du congé sous l'angle de l'art. 271 CO afin de déterminer si le motif du congé est contraire à la bonne foi et aurait conduit l'intimé à commettre un acte illicite (art. 41 CO), respectivement une violation contractuelle (art. 97 CO), qui aurait porté préjudice à l'appelant.</w:t>
      </w:r>
    </w:p>
    <w:p>
      <w:r>
        <w:rPr>
          <w:b/>
        </w:rPr>
        <w:t>E. 3.1</w:t>
      </w:r>
    </w:p>
    <w:p>
      <w:r>
        <w:t>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 733-734).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arrêt du Tribunal fédéral 4A.322/2007 du 12 novembre 2007, consid. 6; LACHAT, Commentaire romand, no 6 ad art. 271 CO). La notion de bonne foi ne se confond pas avec les justes motifs des art. 257f ou 266g CO (BARBEY, Commentaire du droit du bail, nos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 Est contraire aux règles de la bonne foi une résiliation qui ne correspond à aucun intérêt digne de protection et apparaît comme une chicane, ainsi qu’un congé qui</w:t>
      </w:r>
    </w:p>
    <w:p>
      <w:r>
        <w:t>- 14/17 -</w:t>
      </w:r>
    </w:p>
    <w:p>
      <w:r>
        <w:t>C/17933/2012 consacre une attitude déloyale (LACHAT, op. cit., p. 733). La motivation du congé ne constitue pas une condition de sa validité; l'absence de motivation véridique ou complète peut toutefois constituer un indice que le motif réel du congé est contraire à la bonne foi (ATF 125 III 231 consid. 4b; BARBEY, op. cit., nos 290 et 319; Commentaire USPI, no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Le congé donné en raison du besoin du bailleur pour lui-même, ses proches ou des tiers, n'est généralement pas contraire à la bonne foi (LACHAT, Commentaire romand, no 8 ad art. 271 CO). Le fait qu'un bailleur soit propriétaire de plusieurs immeubles n'implique pas nécessairement que la résiliation d'un contrat de bail pour loger un membre de sa famille soit contraire aux règles de la bonne foi (TERCIER/FAVRE/BUGNON, Les contrats spéciaux, 2009, no 2710, p. 399). 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no 36, p. 120).</w:t>
      </w:r>
    </w:p>
    <w:p>
      <w:r>
        <w:rPr>
          <w:b/>
        </w:rPr>
        <w:t>E. 3.2</w:t>
      </w:r>
    </w:p>
    <w:p>
      <w:r>
        <w:t>Le législateur a renoncé à faire de la motivation du congé une condition de sa validité. Ainsi même non motivée une résiliation est a priori valable. L'art. 271 al. 2 CO dispose que la partie qui a donné le congé doit motiver sa décision, si l'autre partie le demande. 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pp. 730-731). La motivation doit être donnée dans le respect des règles de la bonne foi. En particulier, les motifs doivent être vrais (LACHAT, op. cit., p. 732; BOHNET/MONTINI, Droit du bail à loyer, Commentaire pratique, Bâle, 2010, no 22 ad art. 271 CO). Si le motif du congé cesse d'exister par la suite, la résiliation n'en demeure pas moins valable (arrêt du tribunal fédéral 4A_545/2013 du 28 novembre 2013, consid. 3.2.3). Par ailleurs, le bien-fondé de la résiliation doit être apprécié au moment où son auteur manifeste sa volonté de mettre un terme au contrat (DB 2006 p. 42; LACHAT, Commentaire romand, no 12 ad art. 271 CO). 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w:t>
      </w:r>
    </w:p>
    <w:p>
      <w:r>
        <w:t>- 15/17 -</w:t>
      </w:r>
    </w:p>
    <w:p>
      <w:r>
        <w:t>C/17933/2012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(ACJC/334/2002 du 18 mars 2002; BARBEY, op. cit., no 202).</w:t>
      </w:r>
    </w:p>
    <w:p>
      <w:r>
        <w:rPr>
          <w:b/>
        </w:rPr>
        <w:t>E. 3.3</w:t>
      </w:r>
    </w:p>
    <w:p>
      <w:r>
        <w:t>Le locataire qui n’intente pas la procédure en annulation du congé ou la retire, en se fiant au motif invoqué par le bailleur, et déménage, peut également prétendre à des dommages-intérêts s'il apparaît ultérieurement que le motif était mensonger. Dans ce cas, le dommage du locataire correspondra, par exemple, à la différence de loyer pour la période pendant laquelle le locataire aurait pu légitimement prétendre rester dans les locaux (LACHAT, op. cit., p. 761).</w:t>
      </w:r>
    </w:p>
    <w:p>
      <w:r>
        <w:rPr>
          <w:b/>
        </w:rPr>
        <w:t>E. 3.4</w:t>
      </w:r>
    </w:p>
    <w:p>
      <w:r>
        <w:t>Dans le cas présent, l'intimé a motivé le congé par son souhait de récupérer la surface de bureau litigieuse afin de la réaffecter à l'habitation pour y loger ses enfants. A cet égard, il sied de relever que l'intimé a immédiatement motivé le congé notifié à l'appelant le 11 mai 2010 pour le 31 décembre 2010 et le motif dudit congé n'a jamais varié, contrairement à ce qu'allègue l'appelant. D______, le fils de l'appelant, devait emménager dans l'appartement dont est litige afin de suivre une formation à l'EPSU puis d'intégrer l'Université de Lausanne en vue de devenir professeur de sport. De nombreuses démarches avaient été effectuées afin que D______ puisse emménager dans l'appartement litigieux. En effet, il avait annoncé son changement d'adresse à l'Office cantonal de la population, il avait apposé son nom sur la boîte aux lettres et des travaux avaient été devisés afin de réaffecter les locaux à l'usage d'habitation. A cet égard, il apparaît cohérent que le fils de l'intimé ait souhaité saisir l'opportunité qui lui était offerte d'emménager dans un lieu proche de ses futurs centres d'études. Le précité a toutefois dû renoncer à ses projets professionnels en raison d'un accident survenu en janvier 2011 et de ses séquelles. Il a dès lors rapidement procédé à une demande de remboursement des frais d'écolage de l'EPSU puisque son avenir professionnel était incertain. Il n'a toutefois été informé qu'en automne 2011 de ce qu'il ne pourrait pas suivre sa formation. Il n'y a dès lors pas lieu de considérer que le motif invoqué à l'appui de la résiliation du bail de l'appelant ne constituerait qu'un prétexte. Le projet de vente de l'appartement soutenu par l'appelant n'est intervenu qu'à la fin de l'année 2011, soit de nombreux mois après la résiliation du bail et uniquement après que D______ avait dû renoncer de manière définitive à emménager dans ledit appartement.</w:t>
      </w:r>
    </w:p>
    <w:p>
      <w:r>
        <w:t>- 16/17 -</w:t>
      </w:r>
    </w:p>
    <w:p>
      <w:r>
        <w:t>C/17933/2012 Par ailleurs, l'appelant n'est pas parvenu à démontrer, ni même à rendre vraisemblable, que le motif du congé constituait un prétexte et que la réelle intention de l'intimé était de vendre l'appartement litigieux. Pour le surplus, il est sans importance que D______ n'ait finalement pas em- ménagé dans les locaux puisque la résiliation demeure valable même si le motif à l'appui du congé cesse d'exister ultérieurement. Compte tenu de ce qui précède, la thèse du motif mensonger soutenue par l'appelant doit être écartée étant rappelé que ce motif apparaissait concret, sérieux et n'a jamais varié au cours de la procédure en contestation de congé initiée par l'appelant. L'intimé n'a pas induit en erreur l'appelant dans le but de le dissuader de faire valoir ses droits découlant du bail. Ainsi aucun acte illicite, respectivement aucune violation contractuelle, ne peut être imputée à l'intimé. Le jugement querellé devra ainsi être confirmé.</w:t>
      </w:r>
    </w:p>
    <w:p>
      <w:r>
        <w:rPr>
          <w:b/>
        </w:rPr>
        <w:t>E. 4</w:t>
      </w:r>
    </w:p>
    <w:p>
      <w:r>
        <w:t>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w:t>
      </w:r>
    </w:p>
    <w:p>
      <w:r>
        <w:t>- 17/17 -</w:t>
      </w:r>
    </w:p>
    <w:p>
      <w:r>
        <w:t>C/17933/2012 PAR CES MOTIFS, La Chambre des baux et loyers : A la forme : Déclare recevable l'appel interjeté le 19 septembre 2014 par A______ contre le jugement JTBL/909/2014 rendu le 18 août 2014 par le Tribunal des baux et loyers dans la cause C/17933/2012-6-OOD.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