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ACJC/690/2020 vom 25. Mai 2020</w:t>
      </w:r>
    </w:p>
    <w:p>
      <w:r>
        <w:t>GE Cour de justice, 2020-05-25, FR</w:t>
      </w:r>
    </w:p>
    <w:p>
      <w:r>
        <w:rPr>
          <w:b/>
        </w:rPr>
        <w:t xml:space="preserve">Quelle: </w:t>
      </w:r>
      <w:r>
        <w:t>https://mcp.opencaselaw.ch/entscheid/ge_gerichte_ACJC_690_2020</w:t>
      </w:r>
    </w:p>
    <w:p>
      <w:r>
        <w:t>FR: GE_GERICHTE ACJC/690/2020 du 25 mai 2020</w:t>
      </w:r>
    </w:p>
    <w:p>
      <w:r>
        <w:t>IT: GE_GERICHTE ACJC/690/2020 del 25 maggio 2020</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Si les conditions pour ordonner une expulsion selon la procédure sommaire en protection des cas clairs sont contestées, ce qui est le cas en l'espèce,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En l'espèce, au vu du montant du loyer de 3'110 fr. par mois, charges comprises, la valeur litigieuse est supérieure à 10'000 fr., de sorte que la voie de l'appel pourrait être ouverte contre le prononcé de l'évacuation.</w:t>
      </w:r>
    </w:p>
    <w:p>
      <w:r>
        <w:t>- 5/7 -</w:t>
      </w:r>
    </w:p>
    <w:p>
      <w:r>
        <w:t>C/19845/2019</w:t>
      </w:r>
    </w:p>
    <w:p>
      <w:r>
        <w:rPr>
          <w:b/>
        </w:rPr>
        <w:t>E. 1.2</w:t>
      </w:r>
    </w:p>
    <w:p>
      <w:r>
        <w:t>L'acte expédié le 9 décembre 2019 a été interjeté dans le délai et suivant la forme prescrits par la loi (art. 130, 131, 321 CPC), étant observé que le jugement litigieux a été reçu au plus tôt au domicile élu de l'appelant le 29 novembre 2019. Il est ainsi recevable pour avoir été déposé en temps utile.</w:t>
      </w:r>
    </w:p>
    <w:p>
      <w:r>
        <w:t>En revanche la motivation nouvelle contenue dans les écritures déposées le 30 janvier 2020 est irrecevable, faute de respecter le délai de recours, respectivement d'appel, fixé par les art. 314 al. 1 et 321 al. 2 CPC.</w:t>
      </w:r>
    </w:p>
    <w:p>
      <w:r>
        <w:rPr>
          <w:b/>
        </w:rPr>
        <w:t>E. 1.3</w:t>
      </w:r>
    </w:p>
    <w:p>
      <w:r>
        <w:t>A l'examen de l'acte déposé le 9 décembre 2019, il apparaît que le recourant conclut à l'annulation du jugement attaqué et à ce que la Cour sursoie à l'évacuation «en plein hiver» arguant de la difficulté à se retrouver «dans la rue en cette période de froid». En conséquence, seules les mesures d'exécutions sont remises en cause par l'intéressé, de sorte que seule la voie de recours est ouverte (art. 309 let.a CPC).</w:t>
      </w:r>
    </w:p>
    <w:p>
      <w:r>
        <w:rPr>
          <w:b/>
        </w:rPr>
        <w:t>E. 1.4</w:t>
      </w:r>
    </w:p>
    <w:p>
      <w:r>
        <w:t>Le recours est recevable pour violation du droit et constatation manifestement inexacte des faits (art. 320 CPC).</w:t>
      </w:r>
    </w:p>
    <w:p>
      <w:r>
        <w:rPr>
          <w:b/>
        </w:rPr>
        <w:t>E. 2</w:t>
      </w:r>
    </w:p>
    <w:p>
      <w:r>
        <w:t>L'appelant a produit une nouvelle pièce avec son recours du 7 décembre 2019 et fait valoir de nouveaux faits. Avec son écriture du 30 janvier 2020 il produit une liste de rendez-vous médicaux établie au 29 janvier 2020.</w:t>
      </w:r>
    </w:p>
    <w:p>
      <w:r>
        <w:t>Or, les allégations de faits et les preuves nouvelles sont irrecevables dans le cadre d'un recours (art. 326 al. 1 CPC), de sorte que lesdites pièces et allégations sont écartées de la procédure.</w:t>
      </w:r>
    </w:p>
    <w:p>
      <w:r>
        <w:rPr>
          <w:b/>
        </w:rPr>
        <w:t>E. 3</w:t>
      </w:r>
    </w:p>
    <w:p>
      <w:r>
        <w:t>L'intimée ayant informé la Cour de ce qu'elle avait changé de raison sociale en janvier 2020, la dénomination de cette partie sera préalablement rectifiée en ce sens.</w:t>
      </w:r>
    </w:p>
    <w:p>
      <w:r>
        <w:rPr>
          <w:b/>
        </w:rPr>
        <w:t>E. 4</w:t>
      </w:r>
    </w:p>
    <w:p>
      <w:r>
        <w:t>Le locataire conteste l'appréciation du Tribunal s'agissant des mesures d'exécution.</w:t>
      </w:r>
    </w:p>
    <w:p>
      <w:r>
        <w:rPr>
          <w:b/>
        </w:rPr>
        <w:t>E. 4.1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w:t>
      </w:r>
    </w:p>
    <w:p>
      <w:r>
        <w:t>- 6/7 -</w:t>
      </w:r>
    </w:p>
    <w:p>
      <w:r>
        <w:t>C/19845/2019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le recourant occupe depuis 2016 l'appartement en cause. Depuis avril 2019 au plus tard, il a eu connaissance des démarches engagées contre lui par la société propriétaire en vue de son évacuation puisqu'il a assisté à l'audience fixée par le Tribunal de première instance dans le cadre de la procédure C/2______/2019. Dans la présente procédure il a produit quelques démarches en vue de se reloger. Selon ses déclarations, il vit dans le logement avec son épouse, qui dispose de revenus réguliers de 6'500 fr. par mois, ce qui paraît suffisant pour trouver un autre logement. Sur la base des pièces produites, l'intéressé est atteint dans sa santé de façon relativement importante mais il convient également de tenir compte du fait qu'en 2019, il a lui-même proposé de convenir d'un délai de départ au 31 janvier 2020, et que cette échéance est aujourd'hui dépassée.</w:t>
      </w:r>
    </w:p>
    <w:p>
      <w:r>
        <w:t>Quant à l'intimée, elle n'a fait valoir aucune urgence à récupérer l'appartement en cause, mis à part les arriérés de loyers et de charges qui s'accumulent. Dans ce contexte, la décision des premiers juges d'accorder un sursis de 30 jours est en définitive adéquate. Il faut également tenir compte du fait qu'avec la durée de la procédure de recours, le recourant a bénéficié d'un délai supplémentaire non négligeable.</w:t>
      </w:r>
    </w:p>
    <w:p>
      <w:r>
        <w:rPr>
          <w:b/>
        </w:rPr>
        <w:t>E. 5</w:t>
      </w:r>
    </w:p>
    <w:p>
      <w:r>
        <w:t>L'appelant n'est pas lié à l'intimée par une relation contractuelle quelconque. Il ne soutient pas le contraire. Il ne saurait donc prétendre au maintien d'un contrat de bail préexistant. De plus, la liberté contractuelle, découlant de la liberté économique inscrite à l'art. 27 Cst., ne permet pas d'imposer à l'intimée la conclusion d'un bail avec le recourant.</w:t>
      </w:r>
    </w:p>
    <w:p>
      <w:r>
        <w:t>La conclusion nouvelle formulée en ce sens par ce dernier ne peut dès lors qu'être déclarée irrecevable.</w:t>
      </w:r>
    </w:p>
    <w:p>
      <w:r>
        <w:rPr>
          <w:b/>
        </w:rPr>
        <w:t>E. 6</w:t>
      </w:r>
    </w:p>
    <w:p>
      <w:r>
        <w:t>A teneur de l'art. 22 al. 1 LaCC, il n'est pas prélevé de frais dans les causes soumises à la juridiction des baux et loyers (ATF 139 III 182 consid. 2.6). * * * * *</w:t>
      </w:r>
    </w:p>
    <w:p>
      <w:r>
        <w:t>- 7/7 -</w:t>
      </w:r>
    </w:p>
    <w:p>
      <w:r>
        <w:t>C/19845/2019 PAR CES MOTIFS, La Chambre des baux et loyers : A la forme : Déclare recevable le recours interjeté le 9 décembre 2019 par A______ contre le jugement JTBL/1128/2019 rendu le 21 novembre 2019 par le Tribunal des baux et loyers dans la cause C/19845/2019. Préalablement : Rectifie la qualité de C______ SA en B______ SA. Au fond : Le rejette.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