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ACJC/690/2009 vom 15. Juni 2009</w:t>
      </w:r>
    </w:p>
    <w:p>
      <w:r>
        <w:t>GE Cour de justice, 2009-06-15, FR</w:t>
      </w:r>
    </w:p>
    <w:p>
      <w:r>
        <w:rPr>
          <w:b/>
        </w:rPr>
        <w:t xml:space="preserve">Quelle: </w:t>
      </w:r>
      <w:r>
        <w:t>https://mcp.opencaselaw.ch/entscheid/ge_gerichte_ACJC_690_2009</w:t>
      </w:r>
    </w:p>
    <w:p>
      <w:r>
        <w:t>FR: GE_GERICHTE ACJC/690/2009 du 15 juin 2009</w:t>
      </w:r>
    </w:p>
    <w:p>
      <w:r>
        <w:t>IT: GE_GERICHTE ACJC/690/2009 del 15 giugno 2009</w:t>
      </w:r>
    </w:p>
    <w:p>
      <w:pPr>
        <w:pStyle w:val="Heading2"/>
      </w:pPr>
      <w:r>
        <w:t>Regeste</w:t>
      </w:r>
    </w:p>
    <w:p>
      <w:r>
        <w:t>Résumé: DÉROGATIONS AU DÉTRIMENT DU LOCATAIRE - NULLITÉ Pour déterminer si une dérogation au détriment du locataire est nulle, il faut examiner si une des conditions alternatives de l'art. 256 al. 2 CO est remplie. Si tel n'est pas le cas, la dérogation n'est pas entachée de nullité.</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