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ACJC/68/2020 vom 21. Januar 2020</w:t>
      </w:r>
    </w:p>
    <w:p>
      <w:r>
        <w:t>GE Cour de justice, 2020-01-21, FR</w:t>
      </w:r>
    </w:p>
    <w:p>
      <w:r>
        <w:rPr>
          <w:b/>
        </w:rPr>
        <w:t xml:space="preserve">Quelle: </w:t>
      </w:r>
      <w:r>
        <w:t>https://mcp.opencaselaw.ch/entscheid/ge_gerichte_ACJC_68_2020</w:t>
      </w:r>
    </w:p>
    <w:p>
      <w:r>
        <w:t>FR: GE_GERICHTE ACJC/68/2020 du 21 janvier 2020</w:t>
      </w:r>
    </w:p>
    <w:p>
      <w:r>
        <w:t>IT: GE_GERICHTE ACJC/68/2020 del 21 gennaio 2020</w:t>
      </w:r>
    </w:p>
    <w:p>
      <w:pPr>
        <w:pStyle w:val="Heading2"/>
      </w:pPr>
      <w:r>
        <w:t>Erwägungen</w:t>
      </w:r>
    </w:p>
    <w:p>
      <w:r>
        <w:rPr>
          <w:b/>
        </w:rPr>
        <w:t>E. 28</w:t>
      </w:r>
    </w:p>
    <w:p>
      <w:r>
        <w:t>février 2018. Le congé a été distribué par la poste le 29 janvier 2018 à 9h09, à l’adresse des locaux litigieux (soit selon le justificatif de distribution : « A______, 2______ [no.] ______, [code postal] Genève »), à une personne répondant au nom de « G______ ». g. Suite à ce congé, une première procédure d’évacuation par la voie du cas clair a opposé les parties et s’est soldée par un arrêt de la Cour ACJC/1232/2018 du 17 septembre 2018, constatant l’irrecevabilité de la requête, au motif de l’absence de clarté des décomptes de loyers produits. Dans le cadre de cette procédure, la question d’une mauvaise notification du congé du 26 janvier 2018 n’a ni été soulevée ni examinée. h. Par requête déposée auprès de la Commission de conciliation en matière de baux et loyers le 11 octobre 2018, déclarée non conciliée à l’audience du</w:t>
      </w:r>
    </w:p>
    <w:p>
      <w:r>
        <w:rPr>
          <w:b/>
        </w:rPr>
        <w:t>E. 30</w:t>
      </w:r>
    </w:p>
    <w:p>
      <w:r>
        <w:t>novembre 2018 et portée devant le Tribunal des baux et loyers le 13 décembre 2018, la bailleresse a conclu préalablement à ce qu’il soit dit que le contrat de bail avait été valablement résilié, et principalement à l’évacuation des locataires avec exécution directe. i. Dans leur réponse du 14 février 2019, les locataires ont notamment nié avoir reçu la résiliation de bail, celle-ci ayant été notifiée à un dénommé « G______ » qui ne travaillait pas dans l’arcade et qu’ils ne connaissaient pas. j. Lors de l’audience du 2 mai 2019, B______ a déclaré que l’arcade était fermée au mois de janvier 2018 et que les locataires ignoraient qui était la personne qui avait réceptionné l’avis de résiliation du bail. k. A l’issue de l’audience précitée, les parties ont plaidé et persisté dans leurs conclusions, et la cause a été gardée à juger.</w:t>
      </w:r>
    </w:p>
    <w:p>
      <w:r>
        <w:t>- 4/6 -</w:t>
      </w:r>
    </w:p>
    <w:p>
      <w:r>
        <w:t>C/23072/2018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 136 III 196 consid. 1.1; arrêt du Tribunal fédéral 4A_388/2016 du 15 mars 2017 consid. 1). 1.2 En l'espèce, le loyer annuel des locaux, charges comprises, s'élève à 13'356 fr., de sorte que la valeur litigieuse est largement supérieure à 10'000 fr.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Les appelants ne contestent pas la réalisation des conditions d’application de l’art. 257d CO, mais uniquement la bonne notification du congé litigieux.</w:t>
      </w:r>
    </w:p>
    <w:p>
      <w:r>
        <w:t>2.1 La résiliation est une déclaration unilatérale de volonté sujette à réception, qui déploie ses effets lorsqu’elle parvient dans la sphère d’influence de son destinataire (ou du représentant de ce dernier), c’est-à-dire dans sa main, dans sa boîte aux lettres, dans sa case postale, à son bureau, etc. (LACHAT, Le bail à loyer, 2019, p. 838).</w:t>
      </w:r>
    </w:p>
    <w:p>
      <w:r>
        <w:t>L’acte peut être remis directement à son destinataire ou à toute autre personne dont on peut légitimement penser qu’elle le représente (BOHNET / DIETSCHY-MARTENET,</w:t>
      </w:r>
    </w:p>
    <w:p>
      <w:r>
        <w:t>- 5/6 -</w:t>
      </w:r>
    </w:p>
    <w:p>
      <w:r>
        <w:t>C/23072/2018 Droit du bail à loyer et à ferme, 2017, ad art. 266a n° 7). Il peut s’agir par exemple d’un employé ou d'une personne de 16 ans au moins vivant dans le même ménage, en vertu de l’art. 138 al. 2 CPC par analogie (LACHAT, op. cit., p. 839).</w:t>
      </w:r>
    </w:p>
    <w:p>
      <w:r>
        <w:t>Sauf convention contraire, la notification a lieu au domicile du locataire ou à l’adresse des locaux loués (arrêt du Tribunal fédéral 4A_350/2014 du 16 septembre 2014 consid. 2.2).</w:t>
      </w:r>
    </w:p>
    <w:p>
      <w:r>
        <w:t>2.2 En l’espèce, il est établi que c’est bien à l’adresse des locaux litigieux (soit selon le justificatif de distribution : « A______, 2______ [no.] ______, [code postal] Genève ») que le congé litigieux a été notifié, de sorte que rien ne laisse penser que les locataires ne l’auraient pas reçu. En l'absence d'éléments contraires, il y a lieu de considérer qu’une personne tenant l’arcade le jour de la distribution du pli litigieux était en mesure de représenter les locataires de ladite arcade pour la réception du courrier qui devait être notifié à cette adresse, comme c’est le cas d’un courrier officiel provenant de la bailleresse.</w:t>
      </w:r>
    </w:p>
    <w:p>
      <w:r>
        <w:t>A l’appui de leurs allégations, les appelants n’ont produit aucun document attestant de ce que leur arcade aurait été fermée le jour de la distribution du pli, ni aucune liste des personnes qu’ils ont employées durant l’année 2018, laquelle aurait pu accréditer leur thèse selon laquelle le congé ne leur serait pas parvenu. Il est à souligner par ailleurs que l'argument relatif à la non réception du congé litigieux n’a pas été soulevé lors de la précédente procédure d’évacuation.</w:t>
      </w:r>
    </w:p>
    <w:p>
      <w:r>
        <w:t>Le grief des appelants se révèle infondé, aucun élément du dossier ne permettant de douter de la distribution du pli recommandé litigieux, attesté par le justificatif postal.</w:t>
      </w:r>
    </w:p>
    <w:p>
      <w:r>
        <w:t>2.3 Les appelants n’élevant aucun autre grief à l’encontre du jugement entrepris, celui-ci sera intégralement confirmé. 3. A teneur de l'art. 22 al. 1 LaCC, il n'est pas prélevé de frais dans les causes soumises à la juridiction des baux et loyers. * * * * *</w:t>
      </w:r>
    </w:p>
    <w:p>
      <w:r>
        <w:t>- 6/6 -</w:t>
      </w:r>
    </w:p>
    <w:p>
      <w:r>
        <w:t>C/23072/2018 PAR CES MOTIFS, La Chambre des baux et loyers : A la forme : Déclare recevable l'appel interjeté le 12 juillet 2019 par A______ et B______ contre le jugement JTBL/573/2019 rendu le 11 juin 2019 par le Tribunal des baux et loyers dans la cause C/23072/2018-4-OSE. Au fond : Confirme ce jugement. Dit que la procédure est gratuite. Déboute les parties de toutes autres conclusions. Siégeant : Monsieur Ivo BUETTI, président; Madame Pauline ERARD, Madame Fabienne GEISINGER-MARIÉTHOZ, juges; Monsieur Pierre STASTNY et Monsieur Serge PATEK, juges assesseurs; Madame Maïté VALENTE, greffière.</w:t>
      </w:r>
    </w:p>
    <w:p>
      <w:r>
        <w:t>Le président :</w:t>
      </w:r>
    </w:p>
    <w:p>
      <w:r>
        <w:t>Ivo BUETTI</w:t>
      </w:r>
    </w:p>
    <w:p>
      <w:r>
        <w:t>La greffière :</w:t>
      </w:r>
    </w:p>
    <w:p>
      <w:r>
        <w:t>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