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ACJC/689/2024 vom 31. Mai 2024</w:t>
      </w:r>
    </w:p>
    <w:p>
      <w:r>
        <w:t>GE Cour de justice, 2024-05-31, FR</w:t>
      </w:r>
    </w:p>
    <w:p>
      <w:r>
        <w:rPr>
          <w:b/>
        </w:rPr>
        <w:t xml:space="preserve">Quelle: </w:t>
      </w:r>
      <w:r>
        <w:t>https://mcp.opencaselaw.ch/entscheid/ge_gerichte_ACJC_689_2024</w:t>
      </w:r>
    </w:p>
    <w:p>
      <w:r>
        <w:t>FR: GE_GERICHTE ACJC/689/2024 du 31 mai 2024</w:t>
      </w:r>
    </w:p>
    <w:p>
      <w:r>
        <w:t>IT: GE_GERICHTE ACJC/689/2024 del 31 maggio 2024</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w:t>
      </w:r>
    </w:p>
    <w:p>
      <w:r>
        <w:t>La valeur litigieuse étant supérieure à 10'000 fr., la voie de l'appel est ouverte.</w:t>
      </w:r>
    </w:p>
    <w:p>
      <w:r>
        <w:rPr>
          <w:b/>
        </w:rPr>
        <w:t>E. 1.2</w:t>
      </w:r>
    </w:p>
    <w:p>
      <w:r>
        <w:t>Déposé dans le délai de 30 jours (art. 142 al. 1, 143 al. 1 et 311 al. 1 CPC) et selon la forme prescrite par la loi (art. 130, 131 et 311 CPC), l'appel est recevable.</w:t>
      </w:r>
    </w:p>
    <w:p>
      <w:r>
        <w:rPr>
          <w:b/>
        </w:rPr>
        <w:t>E. 1.3</w:t>
      </w:r>
    </w:p>
    <w:p>
      <w:r>
        <w:t>La Cour revoit la cause en fait et en droit avec un plein pouvoir d'examen (art. 310 CPC). La maxime des débats (art. 55 al. 1 CPC) et le principe de disposition (art. 58 al. 1 CPC) sont applicables à la présente procédure.</w:t>
      </w:r>
    </w:p>
    <w:p>
      <w:r>
        <w:rPr>
          <w:b/>
        </w:rPr>
        <w:t>E. 2</w:t>
      </w:r>
    </w:p>
    <w:p>
      <w:r>
        <w:t>L'appelant conteste devoir un quelconque montant à titre d'honoraires à l'intimée.</w:t>
      </w:r>
    </w:p>
    <w:p>
      <w:r>
        <w:rPr>
          <w:b/>
        </w:rPr>
        <w:t>E. 2.1.1</w:t>
      </w:r>
    </w:p>
    <w:p>
      <w:r>
        <w:t>A teneur de l'art. 394 al. 1 CO, le mandat est un contrat par lequel le mandataire s'oblige, dans les termes de la convention, à gérer l'affaire dont il s'est chargé ou à rendre les services qu'il a promis (art. 394 al. 1 CO).</w:t>
      </w:r>
    </w:p>
    <w:p>
      <w:r>
        <w:t>L'art. 396 al. 1 CO prévoit en outre que l'étendue du mandat est déterminée, si la convention ne l'a pas expressément fixée, par la nature de l'affaire à laquelle il se rapporte.</w:t>
      </w:r>
    </w:p>
    <w:p>
      <w:r>
        <w:t>Une rémunération est due au mandataire si la convention ou l'usage lui en assure une (art. 394 al. 3 CO). Lorsque les services sont fournis à titre professionnel, le mandat est onéreux en vertu de l'usage (ATF 139 III 259 consid. 2.1).</w:t>
      </w:r>
    </w:p>
    <w:p>
      <w:r>
        <w:t>Les honoraires dus à un mandataire sont fixés en première ligne d'après la convention des parties (ATF 101 II 109 consid. 2). Il est loisible aux parties de fixer les honoraires selon un forfait convenu à l'avance (arrêt du Tribunal fédéral 4A_287/2015 du 22 juillet 2015 consid. 2).</w:t>
      </w:r>
    </w:p>
    <w:p>
      <w:r>
        <w:rPr>
          <w:b/>
        </w:rPr>
        <w:t>E. 2.1.2</w:t>
      </w:r>
    </w:p>
    <w:p>
      <w:r>
        <w:t>Examinant les conséquences, sur le droit à la rémunération du mandataire, de l'exécution défectueuse ou de l'inexécution totale du mandat, le Tribunal fédéral a posé les principes suivants : en cas d'exécution défectueuse du mandat, le mandataire a droit à des honoraires pour l'activité qu'il a exercée en conformité avec le contrat ; dans le cas où l'exécution défectueuse du mandat est assimilable à une totale inexécution, se révélant inutile ou inutilisable, le mandataire peut perdre son droit à la rémunération (ATF 124 III 423 consid. 4a). A cette occasion, il a rappelé le principe généralement admis en jurisprudence selon lequel la rémunération due au mandataire représente une contre-prestation pour les services qu'il rend au mandant, plus précisément pour l'activité diligente qu'il exerce dans l'affaire dont il est chargé, de sorte que le mandataire qui ne rend pas les services</w:t>
      </w:r>
    </w:p>
    <w:p>
      <w:r>
        <w:t>- 7/12 -</w:t>
      </w:r>
    </w:p>
    <w:p>
      <w:r>
        <w:t>C/26008/2018 promis, c'est-à-dire qui demeure inactif ou n'agit pas avec le soin requis, ne peut prétendre à l'entier des honoraires convenus ou à la même rémunération qui serait équitablement due à un mandataire diligent (ATF 124 III 423 consid. 3b).</w:t>
      </w:r>
    </w:p>
    <w:p>
      <w:r>
        <w:t>Ainsi, en cas d'inexécution totale, soit lorsque le mandataire demeure inactif ou que ses prestations se révèlent inutiles ou inutilisables (vollständig unbrauchbar), celui-ci perd son droit à la rémunération (ATF 124 III 423 consid. 4a; arrêt du Tribunal fédéral 4A_444/2019 du 21 avril 2020 consid. 3.2.1).</w:t>
      </w:r>
    </w:p>
    <w:p>
      <w:r>
        <w:t>En revanche, même en cas d'exécution défectueuse, le droit du mandataire à des honoraires subsiste, mais le montant des honoraires convenus (Honorarforderung)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3b, rappelant un principe généralement admis dans la jurisprudence antérieure).</w:t>
      </w:r>
    </w:p>
    <w:p>
      <w:r>
        <w:rPr>
          <w:b/>
        </w:rPr>
        <w:t>E. 2.1.3</w:t>
      </w:r>
    </w:p>
    <w:p>
      <w:r>
        <w:t>Même lorsque les honoraires ont été fixés de manière forfaitaire, le mandataire ne peut prétendre à des honoraires que s'il a exécuté correctement sa prestation, ce qu'il lui incombe de démontrer (art. 8 CC; arrêts du Tribunal fédéral 4A_287/2015 du 22 juillet 2015 consid. 2.1; 4A_444/2019 du 21 avril 2020 consid. 3.2.2).</w:t>
      </w:r>
    </w:p>
    <w:p>
      <w:r>
        <w:t>Cela étant, la situation se présente différemment lorsque le comportement du mandant autorise à conclure qu'il considère la prestation comme suffisante. Il serait alors contradictoire de lui permettre de soutenir ensuite que la prestation est incomplète et de forcer le mandataire à prouver qu'il s'est exécuté. Il s'ensuit qu'une acceptation sans réserve de la prestation conduit à un renversement du fardeau de la preuve : le mandant doit alors prouver que le mandataire ne s'est pas correctement exécuté. Une acceptation survient notamment lorsque le comportement du mandant laisse entendre qu'il accepte pour l'essentiel la prestation; il en va notamment ainsi lorsque le mandant reste muet pendant longtemps (bei längerem Schweigen; FELLMANN, Berner Kommentar - Der einfache Auftrag, 1992, n. 489 et suivantes ad art. 394 CO ; WALTER, Berner Kommentar - Schweizerisches Zivilgesetzbuch, Einleitung und Personenrecht, 2012, n. 590; ATF 128 III 271 consid. 2a/aa ; arrêt du Tribunal fédéral 4A_484/2009 du 31 août 2010 consid. 3.2; arrêt de la Cour de justice du 19 janvier 2007 publié in RSJ 105/2009 p. 38, p. 40).</w:t>
      </w:r>
    </w:p>
    <w:p>
      <w:r>
        <w:t>La règle de l'art. 8 CC s'applique en principe également lorsque la preuve porte sur des faits négatifs, c'est-à-dire que celui qui les allègue doit les prouver. Cette exigence est toutefois tempérée par les règles de la bonne foi qui obligent le</w:t>
      </w:r>
    </w:p>
    <w:p>
      <w:r>
        <w:t>- 8/12 -</w:t>
      </w:r>
    </w:p>
    <w:p>
      <w:r>
        <w:t>C/26008/2018 défendeur à coopérer à la procédure probatoire, notamment en offrant la preuve du contraire.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4A_550/2018 du 29 mai 2019 consid. 4.2).</w:t>
      </w:r>
    </w:p>
    <w:p>
      <w:r>
        <w:rPr>
          <w:b/>
        </w:rPr>
        <w:t>E. 2.2</w:t>
      </w:r>
    </w:p>
    <w:p>
      <w:r>
        <w:t>En l'espèce, dans le jugement entrepris, le Tribunal a constaté que C______ SA avait facturé à A______ les montants de 100'000 francs français, puis 23'000 fr., qui avaient été acquittés jusqu'en 2015. Dès lors, ces paiements reflétaient la volonté des parties sur le principe et le montant de la rémunération. Pour 2015, C______ SA avait déployé une activité en lien avec la cession des parts de la SCI. Par la suite, le mandat n'avait pas été résilié, malgré l'envoi de factures et de rappels; C______ SA continuait ainsi à gérer G______ et H______. Les prestations étaient nécessaires, car ces structures n'avaient pas été liquidées. L'activité de C______ SA en faveur de A______ avait donc perduré : il n'existait aucune raison de s'éloigner du montant des honoraires convenus antérieurement.</w:t>
      </w:r>
    </w:p>
    <w:p>
      <w:r>
        <w:t>L'appelant fait grief au Tribunal d'avoir retenu que l'intimé avait effectué une activité après fin 2015, alors qu'elle n'avait ni détaillé ses activités, ni apporté de preuve de celles-ci. A ce sujet, les déclarations de N______ devaient être appréciées avec réserve, eu égard à sa position d'organe au sein de l'intimée avant son départ en février 2023. Dès la fin de 2015, la nature du mandat avait changé, puisque seule la liquidation de la structure devait être effectuée. Tout au plus, un montant très faible d'honoraires se justifiait pour le maintien de la structure.</w:t>
      </w:r>
    </w:p>
    <w:p>
      <w:r>
        <w:t>L'intimée rétorque que la facturation de 23'000 fr. par an devait couvrir les frais d'administration de la structure, les frais de domiciliation et les honoraires des administrateurs et des représentants des actionnaires. Les coûts de constitution de la structure n'avaient pas été l'objet d'un poste spécifique, mais "lissés" dans le montant forfaitaire annuellement facturé. Il était donc contradictoire d'avoir payé ces coûts jusqu'en 2015, ce alors que la constitution était déjà terminée depuis longtemps, pour soutenir désormais que seule l'activité de constitution méritait une rémunération. La procédure de liquidation, entamée en 2015, avait été clairement communiquée à l'appelant, qui n'avait ni formulé d'opposition, ni envisagé de résilier le mandat : le retard pris dans la liquidation lui était imputable.</w:t>
      </w:r>
    </w:p>
    <w:p>
      <w:r>
        <w:rPr>
          <w:b/>
        </w:rPr>
        <w:t>E. 2.3.1</w:t>
      </w:r>
    </w:p>
    <w:p>
      <w:r>
        <w:t>Il n'est pas contesté que les parties sont liées par un contrat de mandat depuis</w:t>
      </w:r>
    </w:p>
    <w:p>
      <w:r>
        <w:t>- 9/12 -</w:t>
      </w:r>
    </w:p>
    <w:p>
      <w:r>
        <w:t>C/26008/2018 1999, lequel prévoit le paiement d'honoraires forfaitaires équivalents à 23'000 fr. par an, ni que les prestations convenues visent la mise en place, puis la continuation, d'une structure constituée de plusieurs sociétés sises dans des Etats différents en vue de détenir un appartement en France au bénéfice d'une personne physique. Enfin, il n'est pas remis en cause que les factures de l'intimée ont été honorées jusqu'en 2014.</w:t>
      </w:r>
    </w:p>
    <w:p>
      <w:r>
        <w:rPr>
          <w:b/>
        </w:rPr>
        <w:t>E. 2.3.2</w:t>
      </w:r>
    </w:p>
    <w:p>
      <w:r>
        <w:t>Pour la période de 1999 à 2014, l'appelant ne conteste pas que les honoraires étaient dus pour les prestations de l'intimée et que celles-ci ont été exécutées à sa satisfaction. L'appelant ne saurait ainsi être suivi lorsqu'il prétend qu'il était prêt à payer des honoraires uniquement pour l'activité de constitution de la structure : celle-ci n'est intervenue qu'une fois en 1999. Le fait qu'il ait ensuite continué à payer ces honoraires forfaitaires pendant quinze ans, sans critiquer ni remettre en cause l'activité fournie par l'intimée conduit à retenir, comme le soutient celle-ci, que la facturation forfaitaire convenue tendait à "lisser" la rémunération sur la durée pour l'activité plus importante de la constitution de la structure, puis l'activité de maintien de cette structure par la suite.</w:t>
      </w:r>
    </w:p>
    <w:p>
      <w:r>
        <w:t>Certes, à la fin décembre 2015, les parts sociales de la société immobilière ont été cédées à la société suisse L______ SA et les parties ont envisagé de liquider la structure. Pourtant, dès janvier 2016, et jusqu'à l'introduction de la procédure judiciaire, l'appelant a rompu tout contact avec l'intimée et n'a jamais contesté l'activité fournie par l'intimée pour la période de 2016 à 2018, ni le prix exigé pour celle-ci. Il ne l'a en outre pas instruite de liquider la structure, ni n'a exprimé son intention de mettre fin au contrat de mandat, alors qu'il ne pouvait pas ignorer que le maintien d'une telle structure était coûteux, puisqu'il avait réglé les frais liés pendant quinze ans antérieurement.</w:t>
      </w:r>
    </w:p>
    <w:p>
      <w:r>
        <w:t>Cela a des conséquences sur la répartition du fardeau de la preuve : il ne peut être exigé du mandataire de devoir prouver son activité dans un tel cas de figure. Ainsi, il incombait à l'appelant, contrairement à ce qu'il affirme, de prouver que les prestations de l'intimée étaient insatisfaisantes.</w:t>
      </w:r>
    </w:p>
    <w:p>
      <w:r>
        <w:rPr>
          <w:b/>
        </w:rPr>
        <w:t>E. 2.3.3</w:t>
      </w:r>
    </w:p>
    <w:p>
      <w:r>
        <w:t>Cela étant posé, les prétentions de l'intimée doivent être examinées plus en détail. Contrairement aux écritures des parties et au jugement du Tribunal, il convient d'emblée de relever que le montant global de 23'000 fr. rassemblait en réalité plusieurs postes forfaitaires. Sur le total, 5'980 fr. relèvent grosso modo d'avances pour administrateurs et actionnaires fiduciaires, de frais de domiciliation et de taxes, qui restent dus tant que les structures n'ont pas été liquidées et que l'appelant n'a, du reste, pas contestés, puisque celui-ci a seulement remis en cause l'aspect relatif à l'activité de l'intimée. Il s'ensuit que le jugement sera confirmé en ce qu'il porte sur la somme de 5'980 fr. pour chacune des années litigieuses.</w:t>
      </w:r>
    </w:p>
    <w:p>
      <w:r>
        <w:t>- 10/12 -</w:t>
      </w:r>
    </w:p>
    <w:p>
      <w:r>
        <w:t>C/26008/2018</w:t>
      </w:r>
    </w:p>
    <w:p>
      <w:r>
        <w:t>L'appelant ne conteste plus devoir payer les honoraires relatifs à l'année 2015, comme cela ressort expressément de ses développements d'appel. La décision entreprise sera donc confirmée sur ce point encore.</w:t>
      </w:r>
    </w:p>
    <w:p>
      <w:r>
        <w:t>Quant à l'activité fournie par l'intimée de 2016 à 2018, facturée quelque 17'000 fr. par année, elle appelle les remarques suivantes. Comme il a été évoqué brièvement ci-dessus, l'intimée était chargée de constituer, puis d'entretenir une structure de sociétés. Il n'est pas contesté qu'elle a fait l'un et l'autre, ce jusqu'à 2018 au moins. Certes, comme le relève l'appelant, il pourrait être objecté que l'activité de l'intimée était limitée. Comme elle le décrit elle-même dans ses écritures, il s'agissait d'une activité administrative et répétitive. Il n'en demeure pas moins que les parties avaient convenu d'une rémunération forfaitaire pour cette activité, payée pendant de nombreuses années, sans que l'appelant n'ait rien à reprocher à sa mandataire.</w:t>
      </w:r>
    </w:p>
    <w:p>
      <w:r>
        <w:t>Mise à part son affirmation que l'activité était inexistante, l'appelant ne formule pas de critiques concrètes à l'égard de la qualité des services rendus par l'intimée. Au contraire, il reconnaît lui-même que des honoraires étaient en principe dus pour le maintien de la structure, même s'il fait valoir que ceux-ci devaient être très bas, et ne remet pas en cause que le but attendu a été atteint. Il ne peut en tout cas pas prétendre avoir cru que, de par la cession des parts sociales de la société immobilière, l'ensemble des sociétés, complexe, disparaîtrait immédiatement et n'entraînerait plus aucun coût. Au contraire, assisté de deux avocats, il ne pouvait ignorer que la liquidation ne serait pas immédiate, mais prendrait du temps.</w:t>
      </w:r>
    </w:p>
    <w:p>
      <w:r>
        <w:t>L'appelant ne saurait par ailleurs être suivi lorsqu'il soutient que le témoignage de N______ n'a aucune force probante, puisque cette personne n'était plus ni organe, ni employée de l'intimée au moment de son audition.</w:t>
      </w:r>
    </w:p>
    <w:p>
      <w:r>
        <w:t>Le fait que la structure soit devenue inutile pour l'appelant ne permet pas non plus de considérer que ce dernier soit libéré de ses obligations contractuelles, ni ne le dispensait mettre fin au mandat ou de se manifester d'aucune manière lors de la réception des différentes notes d'honoraires.</w:t>
      </w:r>
    </w:p>
    <w:p>
      <w:r>
        <w:t>Ainsi, l'appelant qui a allégué l'inexistence des services rendus par l'intimée ne peut être suivi, dans la mesure où il admet lui-même que le maintien de la structure de sociétés a été assuré. Il s'ensuit que le fait négatif qu'il alléguait, soit l'inexistence des services rendus, n'appelait pas une collaboration particulière de l'intimée, puisque son activité ressort suffisamment des faits admis par l'appelant et des autres éléments du dossier.</w:t>
      </w:r>
    </w:p>
    <w:p>
      <w:r>
        <w:t>Par conséquent, les services rendus par l'intimée correspondent à ceux qui avaient été promis au moment de la conclusion du contrat de mandat et méritent la rémunération promise.</w:t>
      </w:r>
    </w:p>
    <w:p>
      <w:r>
        <w:t>- 11/12 -</w:t>
      </w:r>
    </w:p>
    <w:p>
      <w:r>
        <w:t>C/26008/2018</w:t>
      </w:r>
    </w:p>
    <w:p>
      <w:r>
        <w:rPr>
          <w:b/>
        </w:rPr>
        <w:t>E. 2.3.4</w:t>
      </w:r>
    </w:p>
    <w:p>
      <w:r>
        <w:t>L'appel sera donc rejeté et le jugement entrepris confirmé.</w:t>
      </w:r>
    </w:p>
    <w:p>
      <w:r>
        <w:rPr>
          <w:b/>
        </w:rPr>
        <w:t>E. 3.1</w:t>
      </w:r>
    </w:p>
    <w:p>
      <w:r>
        <w:t>L'appelant, qui succombe, sera condamné aux frais judiciaires d'appel. Ceux-ci seront arrêtés à 4'500 fr. (art. 17 et 35 RTFMC et 106 al. 1 CPC). Ces frais seront compensés avec l'avance de frais de même montant que le précité a versée, qui demeure acquise à l'Etat de Genève (art. 111 al. 1 CPC).</w:t>
      </w:r>
    </w:p>
    <w:p>
      <w:r>
        <w:rPr>
          <w:b/>
        </w:rPr>
        <w:t>E. 3.2</w:t>
      </w:r>
    </w:p>
    <w:p>
      <w:r>
        <w:t>L'appelant sera en outre condamné à verser à sa partie adverse 5'000 fr. au titre de dépens d'appel, débours et TVA inclus (art. 85 et 90 RTFMC; art. 25 et 26 LaCC). * * * * *</w:t>
      </w:r>
    </w:p>
    <w:p>
      <w:r>
        <w:t>- 12/12 -</w:t>
      </w:r>
    </w:p>
    <w:p>
      <w:r>
        <w:t>C/26008/2018 PAR CES MOTIFS, La Chambre civile : A la forme : Déclare recevable l'appel interjeté par A______ le 20 septembre 2023 contre le jugement JTPI/9220/2023 rendu le 18 août 2023 par le Tribunal de première instance dans la cause C/26008/2018. Au fond : Confirme le jugement entrepris. Déboute les parties de toutes autres conclusions. Sur les frais : Arrête les frais judiciaires d'appel à 4'500 fr., les met à la charge de A______ et les compense avec l'avance de même montant qu'il a versée et qui demeure acquise à l'Etat de Genève. Condamne A______ à payer 5'000 fr. à C______ SA à titre de dépens d'appel. Siégeant : Monsieur Laurent RIEBEN, président; Madame Fabienne GEISINGER-MARIETHOZ,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