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ACJC/688/2019 vom 27. Mai 2019</w:t>
      </w:r>
    </w:p>
    <w:p>
      <w:r>
        <w:t>GE Cour de justice, 2019-05-27, FR</w:t>
      </w:r>
    </w:p>
    <w:p>
      <w:r>
        <w:rPr>
          <w:b/>
        </w:rPr>
        <w:t xml:space="preserve">Quelle: </w:t>
      </w:r>
      <w:r>
        <w:t>https://mcp.opencaselaw.ch/entscheid/ge_gerichte_ACJC_688_2019</w:t>
      </w:r>
    </w:p>
    <w:p>
      <w:r>
        <w:t>FR: GE_GERICHTE ACJC/688/2019 du 27 mai 2019</w:t>
      </w:r>
    </w:p>
    <w:p>
      <w:r>
        <w:t>IT: GE_GERICHTE ACJC/688/2019 del 27 maggio 2019</w:t>
      </w:r>
    </w:p>
    <w:p>
      <w:pPr>
        <w:pStyle w:val="Heading2"/>
      </w:pPr>
      <w:r>
        <w:t>Erwägungen</w:t>
      </w:r>
    </w:p>
    <w:p>
      <w:r>
        <w:rPr>
          <w:b/>
        </w:rPr>
        <w:t>E. 1.1</w:t>
      </w:r>
    </w:p>
    <w:p>
      <w:r>
        <w:t>Dans les affaires patrimoniales, l'appel est recevable si la valeur litigieuse au dernier état des conclusions est de 10'000 fr. au moins (art. 308 al. 2 CPC). Le recours est ouvert contre les décisions finales de première instance qui ne peuvent faire l'objet d'un appel (art. 319 let. a CPC). La valeur litigieuse est déterminée par les dernières conclusions de première instance (art. 91 al. 1 CPC; JEANDIN, Code de procédure civile commenté, Bâle, 2011, n. 13 ad art. 308 CPC). Selon l'art. 94 CPC, lorsque la demande principale et la demande reconventionnelle s'opposent, la valeur litigieuse se détermine d'après la prétention la plus élevée (al. 1). Lorsque les demandes reconventionnelle et principale ne s'excluent pas, leurs valeurs litigieuses respectives sont additionnées pour déterminer les frais (al. 2).</w:t>
      </w:r>
    </w:p>
    <w:p>
      <w:r>
        <w:t>- 6/11 -</w:t>
      </w:r>
    </w:p>
    <w:p>
      <w:r>
        <w:t>C/4450/2017 La lecture de cette disposition pourrait donner l'impression que la détermination de la valeur litigieuse d'après la plus haute des demandes principale ou reconventionnelle ne vaut que si ces dernières s'excluent. En réalité, l'alinéa 1 doit être compris en liaison avec la règle spéciale de l'alinéa 2, relative aux seuls frais. Ainsi, pour toutes les questions autres que celle des frais, la valeur litigieuse est celle de la demande principale ou de la demande reconventionnelle ayant la valeur la plus élevée (TAPPY, in Code de procédure civile commenté, Bohnet/Haldy/ Jeandin/Schweizer/Tappy [éd.], 2011, n. 23 ad art. 94 CPC; cf. ég. Message relatif au Code de procédure civile suisse (CPC) du 28 juin 2006, FF 2006 6841, p. 6904). La valeur litigieuse d'une demande reconventionnelle ne correspond qu'au montant effectivement réclamé par celui qui présente cette demande. Il n'y a pas lieu de tenir compte de la partie de ses prétentions qu'il invoque en compensation avec la demande principale (ATF 102 II 397 consid. 1).</w:t>
      </w:r>
    </w:p>
    <w:p>
      <w:r>
        <w:rPr>
          <w:b/>
        </w:rPr>
        <w:t>E. 1.2</w:t>
      </w:r>
    </w:p>
    <w:p>
      <w:r>
        <w:t>En l'espèce, la décision entreprise est une décision finale de première instance rendue dans une cause patrimoniale. Tant la valeur litigieuse de la demande principale (8'070 fr. 90) que celle de la demande reconventionnelle (465 fr. 75), au dernier état des conclusions devant le premier juge, sont inférieures à 10'000 fr.</w:t>
      </w:r>
    </w:p>
    <w:p>
      <w:r>
        <w:t>Dès lors, seule la voie du recours est ouverte (art. 308 et 319 let. a CPC).</w:t>
      </w:r>
    </w:p>
    <w:p>
      <w:r>
        <w:rPr>
          <w:b/>
        </w:rPr>
        <w:t>E. 1.3</w:t>
      </w:r>
    </w:p>
    <w:p>
      <w:r>
        <w:t>Selon l'art. 321 al. 1 CPC, le recours, écrit et motivé, est introduit auprès de l'instance de recours dans les trente jours à compter de la notification de la décision motivée.</w:t>
      </w:r>
    </w:p>
    <w:p>
      <w:r>
        <w:t>Dans les causes relevant de la procédure simplifiée (art. 243 ss CPC), comme celle du cas d'espèce, la motivation peut être brève et succincte (Message relatif au Code de procédure civile suisse (CPC) du 28 juin 2006, FF 2006 6841, 6980). L'acte doit toutefois indiquer en quoi la décision querellée est erronée et pour quel motif il se justifie de la modifier. L'absence de motivation conduit à l'irrecevabilité de l'acte de recours (REETZ/THEILER, in Kommentar zur Schweizerischen Zivilprozessordnung [ZPO], Sutter-Somm/Hasenböhler/ Leuenberger [éd.], 2013, nos 12 et 38 ad art. 311 CPC).</w:t>
      </w:r>
    </w:p>
    <w:p>
      <w:r>
        <w:t>Les délais légaux et fixés judiciairement ne courent notamment pas du 15 juillet au 15 août inclus (art. 145 al. 1 let. b CPC), sauf dans le cadre de la procédure de conciliation et de la procédure sommaire (art. 145 al. 2 CPC).</w:t>
      </w:r>
    </w:p>
    <w:p>
      <w:r>
        <w:t>En l'espèce, le recours satisfaisant aux exigences de forme, a été introduit dans le délai de trente jours prévu à cet effet, interrompu, en procédure ordinaire et simplifiée, du 15 juillet au 15 août inclus.</w:t>
      </w:r>
    </w:p>
    <w:p>
      <w:r>
        <w:t>Le recours est ainsi recevable.</w:t>
      </w:r>
    </w:p>
    <w:p>
      <w:r>
        <w:t>- 7/11 -</w:t>
      </w:r>
    </w:p>
    <w:p>
      <w:r>
        <w:t>C/4450/2017</w:t>
      </w:r>
    </w:p>
    <w:p>
      <w:r>
        <w:rPr>
          <w:b/>
        </w:rPr>
        <w:t>E. 1.4</w:t>
      </w:r>
    </w:p>
    <w:p>
      <w:r>
        <w:t>Les conclusions, les allégations de faits et les preuves nouvelles sont irrecevables (art. 326 al. 1 CPC). Ainsi, les pièces nouvelles produites par la recourante sont irrecevables, ainsi que les allégués de faits y afférant, en tant qu'elles n'ont pas été produites devant le Tribunal, la recourante n'expliquant pas pour quelles raisons elle aurait été empêchée de les verser à la procédure de première instance.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et le principe de disposition sont applicables (art. 55 al. 1 et 58 al. 1 CPC).</w:t>
      </w:r>
    </w:p>
    <w:p>
      <w:r>
        <w:rPr>
          <w:b/>
        </w:rPr>
        <w:t>E. 3</w:t>
      </w:r>
    </w:p>
    <w:p>
      <w:r>
        <w:t>La recourante reproche au premier juge de ne pas avoir retenu que l'intimée avait pris du retard dans l'exécution des travaux de déplacement de la ligne à haute tension et de ne pas lui avoir alloué le dommage consécutif audit retard. Elle a fondé sa prétention en réparation du dommage sur l'art. 691 al. 1 CC ainsi que sur le "contrat de servitude".</w:t>
      </w:r>
    </w:p>
    <w:p>
      <w:r>
        <w:rPr>
          <w:b/>
        </w:rPr>
        <w:t>E. 3.1</w:t>
      </w:r>
    </w:p>
    <w:p>
      <w:r>
        <w:t>Aux termes de l'art. 691 al. 1 CC, le propriétaire d’un fonds est tenu, contre réparation intégrale du dommage, de permettre l’établissement à travers son fonds des lignes ou des conduites de desserte et d’évacuation permettant de viabiliser un autre fonds s’il est impossible ou excessivement coûteux d’équiper celui-ci autrement. Cet article introduit une restriction légale de la propriété foncière, imposant à un propriétaire de supporter, à certaines conditions, que des conduites traversent son fonds (STEINAUER, Les droits réels, Tome II, 4ème éd., 2012, n. 1847 p. 230; REY, Basler Kommentar, ZGB II, 3e éd. 2007, n. 1 ad art. 691 CC). Le dommage résultant de l'art. 691 al. 1 CC ne se rapporte en réalité qu'à l'allocation d'une indemnité correspondant à la perte de jouissance de la parcelle devant accueillir la servitude. Elle vise à couvrir la moins-value du terrain ainsi que la perte de prérogative résultant des travaux d'établissement ou d'entretien de la conduite. Le propriétaire du fonds a le droit à la réparation intégrale du dommage qu'il subit, du fait de la perte de jouissance de la parcelle abritant la servitude et non d'un dommage résultant d'un retard dans les travaux sur cette servitude (art 691 al. 1 CC). L'indemnisation se calcule en prenant compte de la valeur du sol de la partie concernée (ATF 120 II 423 consid. 129 I 423, JdT 1995 I 407), suivant les règles d'indemnisation de l'expropriation applicable par analogie (STEINAUER, op. cit., n. 1851, p.232 et références citées).</w:t>
      </w:r>
    </w:p>
    <w:p>
      <w:r>
        <w:t>- 8/11 -</w:t>
      </w:r>
    </w:p>
    <w:p>
      <w:r>
        <w:t>C/4450/2017</w:t>
      </w:r>
    </w:p>
    <w:p>
      <w:r>
        <w:rPr>
          <w:b/>
        </w:rPr>
        <w:t>E. 3.2</w:t>
      </w:r>
    </w:p>
    <w:p>
      <w:r>
        <w:t>Le dommage se définit comme la diminution involontaire de la fortune nette; il correspond à la différence entre le montant actuel du patrimoine du lésé et le montant que ce même patrimoine aurait si l'évènement dommageable ne s'était pas produit. Il peut se présenter sous la forme d'une diminution de l'actif, d'une augmentation du passif, d'une non-augmentation de l'actif ou d'une non- diminution du passif (ATF 133 III 462 consid. 4.4.2).</w:t>
      </w:r>
    </w:p>
    <w:p>
      <w:r>
        <w:rPr>
          <w:b/>
        </w:rPr>
        <w:t>E. 3.3</w:t>
      </w:r>
    </w:p>
    <w:p>
      <w:r>
        <w:t>La preuve de l'existence du dommage et sa quotité incombe au demandeur (art. 8 CC et 42 al. 1 CO; WERRO, La responsabilité civile, 3ème éd., 2017, n. 1079). En tant que règle sur la répartition du fardeau de la preuve, l'art. 8 CC détermine laquelle des parties doit assumer les conséquences de l'échec de la preuve d'un fait pertinent. Lorsque le demandeur introduit une action en dommages-intérêts, il doit alléguer et prouver tous les faits constitutifs de responsabilité. Il supporte le fardeau de la preuve de chacun de ces faits pertinents, ce qui signifie que si le juge ne parvient pas à une conviction, n'est pas à même de déterminer si chacun de ces faits s'est produit ou ne s'est pas produit, il doit statuer au détriment du lésé (arrêt du Tribunal fédéral 4A_614/2015 du 25 avril 2016 consid. 3.3 et les références citées). Il appartient donc au lésé de prouver l'existence et l'étendue du dommage dont il demande réparation (art. 42 al. 1 CO). Cependant, l'art. 42 al. 2 CO autorise le juge à statuer, dans certaines circonstances, sur l'existence et la quotité du dommage ex aequo et bono, en considération du cours ordinaire des choses. L'allègement du fardeau de la preuve que consacre cette disposition étant d'application restrictive, le lésé est tenu de fournir, dans la mesure du possible, tous les éléments de fait constituant des indices de l'existence du préjudice et permettant d'évaluer en équité sa quotité; les circonstances alléguées doivent ainsi faire apparaître un préjudice comme pratiquement certain, une simple possibilité étant insuffisante pour l'allocation de dommages-intérêts (arrêt du Tribunal fédéral 5A_170/2013 du 3 octobre 2013 consid. 7.1.2). Lorsque le créancier ne satisfait pas entièrement à son devoir de fournir les éléments utiles à ces estimations, l'une des conditions dont dépend l'application de l'art. 42 al. 2 CO n'est pas réalisée; il est alors déchu du bénéfice de cette disposition, quand bien même l'existence d'un dommage serait certaine (arrêt du Tribunal fédéral 4A_481/2012 du 14 décembre 2012 consid. 4, paru in SJ 2013 I p. 487).</w:t>
      </w:r>
    </w:p>
    <w:p>
      <w:r>
        <w:rPr>
          <w:b/>
        </w:rPr>
        <w:t>E. 3.4</w:t>
      </w:r>
    </w:p>
    <w:p>
      <w:r>
        <w:t>En l'espèce, la recourante ne remet pas en cause le chiffre 2 du dispositif de la décision entreprise, la condamnant à verser à l'intimée 8'070 fr. 90. Elle soutient que les travaux de construction des neuf villas auraient dû commencer à partir du 17 janvier 2014, soit le lendemain de la vente des parcelles, alors que l'intimée avait achevé les travaux de déplacement de la ligne à haute tension le 18 mars seulement.</w:t>
      </w:r>
    </w:p>
    <w:p>
      <w:r>
        <w:t>- 9/11 -</w:t>
      </w:r>
    </w:p>
    <w:p>
      <w:r>
        <w:t>C/4450/2017 Il ressort de la procédure que la recourante a accordé à l'intimée l'autorisation de poser la canalisation souterraine et l'armoire à basse tension sur la parcelle, permettant de déplacer la conduite aérienne, seulement en date du 27 novembre 2013. Il n'est pas contesté par la recourante que l'intimée a soumis une demande d'approbation à l'ESTI le 19 décembre 2013 concernant la ligne à haute tension. Il ne peut être reproché à l'intimée de ne pas avoir déposé plus tôt une demande en autorisation auprès de l'ESTI avant cette date, contrairement à ce que soutient la recourante, dès lors qu'elle n'a pas tardé à effectuer les démarches ad hoc après obtention de l'autorisation. La décision de l'ESTI a été notifiée à l'intimée le 5 février 2014. Les travaux ont commencé dès l'entrée en force de cette décision, soit le 8 mars 2014 et se sont achevés le 18 mars 2014. La recourante ne remet pas en cause la durée desdits travaux. Au vu de ce qui précède, aucun retard ne peut être imputé à l'intimée, la recourante n'alléguant pas ni ne démontrant qu'un délai ait été convenu par les parties, à teneur du dossier. La recourante n'a ainsi pas été privée de la jouissance de son bien et ne peut fonder une prétention en réparation du dommage sur un retard inexistant.</w:t>
      </w:r>
    </w:p>
    <w:p>
      <w:r>
        <w:t>Le "contrat de servitude", portant sur les canalisations souterraines d'électricité et de télécommunication, dont fait état la recourante, comporte une clause selon laquelle : "tous les dommages causés lors de la pose des câbles ou des travaux d'entretien et réparations éventuels seront supportés par la société électrique". Le contrat n'ayant jamais été signé par la recourante, il ne saurait fonder une prétention de la recourante. En tout état, il incombait à la recourante d'établir le dommage qu'elle prétend avoir subi. Elle se base sur le prix de la vente du terrain, soit 1'300'000 fr., et applique un taux de 2,4 % par an sur ce montant. Elle se fonde également sur la commission trimestrielle de 0,25% applicables au prêt d'un montant de 356'655 fr. pour chiffrer ses prétentions, soit : - Intérêts sur 1'300'000 fr. à 2,4% pendant 61 jours 5'286 fr. 65 - Commission trimestrielle sur 1'300'000 fr. à 0,25 % 3'250 fr. ____________ Total du dommage</w:t>
      </w:r>
    </w:p>
    <w:p>
      <w:r>
        <w:t>8'536 fr.65</w:t>
      </w:r>
    </w:p>
    <w:p>
      <w:r>
        <w:t>Les taux de 2,4 % par an et la commission trimestrielle de 0,25% applicables au prêt sont, quoi qu'il en soit, dus par la recourante. Elle n'explique pas en quoi l'intimée serait redevable de ces montants. Par ailleurs, en procédant au calcul desdits intérêts et de la commission, sur 61 jours, la Cour ne parvient pas au montant de 8'536 fr. 65. En effet, le taux de 2,4% par an, considéré pour 61 jours,</w:t>
      </w:r>
    </w:p>
    <w:p>
      <w:r>
        <w:t>- 10/11 -</w:t>
      </w:r>
    </w:p>
    <w:p>
      <w:r>
        <w:t>C/4450/2017 correspond à 5'214 fr. 24 (1'300'00 fr. x 2,4% / 365 jours x 61 jours). S'agissant de la commission, elle est de 3'250 fr. pour trois mois, soit environ 2'166 fr. pour 61 jours. La recourante n'a fourni aucune explication détaillée concernant lesdits montants, alors que la charge de la preuve lui incombait. Elle n'a pas non plus explicité pour quelle raison lesdits taux trouvaient application en l'espère, alors même que la recourante a vendu huit des neufs villas. Ainsi, en l'absence d'un quelconque élément permettant de considérer que la recourante a subi un dommage et dans la mesure où l'art. 42 al. 2 CO n'est pas applicable, puisque le dommage pouvait être établi, elle sera déboutée de ses conclusions. Le jugement entrepris sera donc confirmé sur ce point.</w:t>
      </w:r>
    </w:p>
    <w:p>
      <w:r>
        <w:rPr>
          <w:b/>
        </w:rPr>
        <w:t>E. 3.5</w:t>
      </w:r>
    </w:p>
    <w:p>
      <w:r>
        <w:t>La recourante ayant échoué à apporter la preuve du dommage, il n'est pas nécessaire d'examiner les griefs de la recourante concernant le lien de connexité de l'art. 14 al. 1 CPC.</w:t>
      </w:r>
    </w:p>
    <w:p>
      <w:r>
        <w:rPr>
          <w:b/>
        </w:rPr>
        <w:t>E. 4</w:t>
      </w:r>
    </w:p>
    <w:p>
      <w:r>
        <w:t>La recourante, qui succombe, sera condamnée aux frais judiciaires de recours (art. 106 al. 1 CPC), qui seront fixés à 1'600 fr. (art. 41 RTFMC) et compensés avec l'avance de même montant d'ores et déjà versée, qui reste acquise à l'Etat de Genève (art. 111 al. 1 CPC).</w:t>
      </w:r>
    </w:p>
    <w:p>
      <w:r>
        <w:t>Il ne se justifie pas d'allouer des dépens de recours à l'intimée, celle-ci plaidant en personne et les démarches effectuées ne le justifiant pas (art. 95 al. 3 let. c CPC). * * * * *</w:t>
      </w:r>
    </w:p>
    <w:p>
      <w:r>
        <w:t>- 11/11 -</w:t>
      </w:r>
    </w:p>
    <w:p>
      <w:r>
        <w:t>C/4450/2017 PAR CES MOTIFS, La Chambre civile : A la forme : Déclare recevable le recours interjeté le 30 août 2018 par A______ contre le jugement JTPI/10195/2018 rendu le 27 juin 2018 par le Tribunal de première instance dans la cause C/4450/2017-15. Au fond : Le rejette. Déboute les parties de toutes autres conclusions. Sur les frais : Arrête les frais judiciaires de recours à 1'600 fr., les met à la charge de A______, et les compense avec l'avance de frais, laquelle reste acquise à l'Etat de Genève. Dit qu'il ne sera pas alloué de dépens de recours.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