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ACJC/688/2010 vom 28. Mai 2010</w:t>
      </w:r>
    </w:p>
    <w:p>
      <w:r>
        <w:t>GE Cour de justice, 2010-05-28, FR</w:t>
      </w:r>
    </w:p>
    <w:p>
      <w:r>
        <w:rPr>
          <w:b/>
        </w:rPr>
        <w:t xml:space="preserve">Quelle: </w:t>
      </w:r>
      <w:r>
        <w:t>https://mcp.opencaselaw.ch/entscheid/ge_gerichte_ACJC_688_2010</w:t>
      </w:r>
    </w:p>
    <w:p>
      <w:r>
        <w:t>FR: GE_GERICHTE ACJC/688/2010 du 28 mai 2010</w:t>
      </w:r>
    </w:p>
    <w:p>
      <w:r>
        <w:t>IT: GE_GERICHTE ACJC/688/2010 del 28 maggio 2010</w:t>
      </w:r>
    </w:p>
    <w:p>
      <w:pPr>
        <w:pStyle w:val="Heading2"/>
      </w:pPr>
      <w:r>
        <w:t>Regeste</w:t>
      </w:r>
    </w:p>
    <w:p>
      <w:r>
        <w:t>Résumé: 1. Dans le cadre du règlement du droit de visite, le juge applique la maxime d'office: il a ainsi le devoir d'éclaircir les faits et de prendre en considération d'office tous les éléments qui peuvent être importants pour rendre une décision conforme à l'intérêt de l'enfant; il peut instruire selon son appréciation, en particulier administrer des moyens de preuve de façon inhabituelle et, de son propre chef, solliciter des rapports, même si cette manière de faire n'est pas prévue par le droit de procédure cantonal (consid. 3.1). 2. Si des éléments de la procédure permettent de retenir, au degré de la vraisemblance, un risque d'atteinte au bien des enfants lorsque ceux-ci passent la nuit auprès de leur père, une restriction des relations personnelles peut être ordonnée pour la durée de la procédure. En revanche, il n'est pas possible de limiter de manière définitive le droit de visite du père sans une administration plus approfondie des preuves des éléments pertinents sur ce point (consid.3.3). 3. Le juge disposant d'un large pouvoir d'appréciation des faits dans le cadre de l'art. 285 al. 1 CC, il convient de prendre en compte les particularités de chaque situation, sans faire preuve d'un schématisme aveugle (consid. 4.1).</w:t>
      </w:r>
    </w:p>
    <w:p>
      <w:pPr>
        <w:pStyle w:val="Heading2"/>
      </w:pPr>
      <w:r>
        <w:t>Erwägungen</w:t>
      </w:r>
    </w:p>
    <w:p>
      <w:r>
        <w:rPr>
          <w:b/>
        </w:rPr>
        <w:t>E. 1</w:t>
      </w:r>
    </w:p>
    <w:p>
      <w:r>
        <w:t>L'appel a été interjeté dans le délai et selon la forme prescrits par la loi (art. 300 et 394 al. 1 LPC). Le Tribunal a statué en premier ressort (art. 387 LPC) et la Cour revoit la cause avec un plein pouvoir d'examen (art. 291 LPC).</w:t>
      </w:r>
    </w:p>
    <w:p>
      <w:r>
        <w:rPr>
          <w:b/>
        </w:rPr>
        <w:t>E. 2</w:t>
      </w:r>
    </w:p>
    <w:p>
      <w:r>
        <w:t>Seules demeurent litigieuses dans la présente procédure les questions relatives à l'étendue du droit de visite (ch. 3) et à la contribution à l'entretien des enfants (ch. 6). L'entrée en force du jugement peut être constatée pour tous les autres points que le Tribunal a tranchés (art. 148 al. 1 CC).</w:t>
      </w:r>
    </w:p>
    <w:p>
      <w:r>
        <w:rPr>
          <w:b/>
        </w:rPr>
        <w:t>E. 3</w:t>
      </w:r>
    </w:p>
    <w:p>
      <w:r>
        <w:t>L'appel porte d'abord sur l'étendue du droit de visite octroyé au père. A suivre l'appelant, ce droit devrait également comporter les nuits de vendredi à samedi ainsi que les nuits durant la moitié des vacances scolaires. De sont côté, l'intimée estime que la décision du premier juge est proportionnée.</w:t>
      </w:r>
    </w:p>
    <w:p>
      <w:r>
        <w:rPr>
          <w:b/>
        </w:rPr>
        <w:t>E. 3.1</w:t>
      </w:r>
    </w:p>
    <w:p>
      <w:r>
        <w:t>Selon l'art. 133 al. 1 CC, le juge fixe, d'après les dispositions régissant les effets de la filiation, les relations personnelles entre l'enfant et l'autre parent. Lorsqu'il règle les relations personnelles, le juge tient compte de toutes les circonstances importantes pour le bien de l'enfant; il prend en considération une</w:t>
      </w:r>
    </w:p>
    <w:p>
      <w:r>
        <w:t>- 7/12 -</w:t>
      </w:r>
    </w:p>
    <w:p>
      <w:r>
        <w:t>C/8953/2009 éventuelle requête commune des parents et, autant que possible, l'avis de l'enfant (art. 133 al. 1 et 2 CC). Pour régler les modalités du droit de visite à l'autre parent, le critère prépondérant réside dans le bien de l'enfant (ATF 131 III 209 consid. 5). Il faut choisir la solution qui, au regard des données de l'espèce, est la mieux à même d'assurer à l'enfant la stabilité des relations nécessaires à un développement harmonieux des points de vue psychique, moral et intellectuel (ATF 117 II 353 consid. 3; STETTLER/GERMANI, Droit civil III, Fribourg 1999, p. 250). Dans ce cadre, le juge applique la maxime d'office: il a ainsi le devoir d'éclaircir les faits et de prendre en considération d'office tous les éléments qui peuvent être importants pour rendre une décision conforme à l'intérêt de l'enfant; il peut instruire selon son appréciation, en particulier administrer des moyens de preuve de façon inhabituelle et, de son propre chef, solliciter des rapports, même si cette manière de faire n'est pas prévue par le droit de procédure cantonal (ATF 128 III 411 consid. 3.2.1).</w:t>
      </w:r>
    </w:p>
    <w:p>
      <w:r>
        <w:rPr>
          <w:b/>
        </w:rPr>
        <w:t>E. 3.2</w:t>
      </w:r>
    </w:p>
    <w:p>
      <w:r>
        <w:t>Le droit de visite de l'appelant sur ses deux enfants a été réduit en raison de faits pénalement répréhensibles et d'une certaine addiction à l'alcool. Pour apprécier ces deux éléments, le premier juge s'est exclusivement fondé sur le rapport du SPMi et les déclarations des parties elles-mêmes. Les faits pour lesquels l'appelant a été détenu à titre préventif durant cinq jours ont fait l'objet d'une procédure pénale, dans le cadre de laquelle une expertise psychiatrique a été effectuée. A teneur du dossier civil, on ignore les circonstances exactes dans lesquelles se sont déroulés les attouchements reprochés à l'appelant; on ne sait rien de la nature de ces actes; on ne connaît pas non plus les conclusions de cette expertise. Or, il s'agit d'autant d'éléments pertinents pour apprécier la question de l'étendue du droit de visite de l'appelant sur ses enfants, en particulier sur sa fille qui a le même âge que la victime des agissements de son père. S'agissant de l'expertise, si la victime des attouchements n'autorise pas sa production entière dans la procédure civile, il est concevable d'en produire des extraits caviardés ou d'auditionner l'expert judiciaire en ce qui concerne son appréciation psychiatrique de la personnalité de l'appelant. Cet expert pourrait également faire des remarques utiles concernant la psychothérapie que l'appelant suit actuellement. S'agissant de l'addiction à l'alcool, les déclarations du médecin qui suit l'appelant démontrent que celui-ci a correctement pris conscience de ses problèmes et gère actuellement sa consommation d'alcool. D'autres éléments du dossier révèlent cependant que la consommation d'alcool de l'appelant remonte à de nombreuses années et qu'elle a été importante. Dans de telles conditions, il serait indiqué, là également, d'entendre les personnes qui accompagnent l'appelant dans son suivi médical. Cette mesure s'impose d'autant plus qu'il est notoirement difficile d'échapper, dans le long terme, à une nouvelle consommation excessive d'alcool.</w:t>
      </w:r>
    </w:p>
    <w:p>
      <w:r>
        <w:t>- 8/12 -</w:t>
      </w:r>
    </w:p>
    <w:p>
      <w:r>
        <w:t>C/8953/2009</w:t>
      </w:r>
    </w:p>
    <w:p>
      <w:r>
        <w:rPr>
          <w:b/>
        </w:rPr>
        <w:t>E. 3.3</w:t>
      </w:r>
    </w:p>
    <w:p>
      <w:r>
        <w:t>Au vu de ces circonstances, il apparaît que le premier juge n'était pas en mesure de statuer, à long terme, sur la question de l'étendue du droit de visite en faveur du père. Si les éléments rappelés ci-dessus permettent en l'état, au stade de la vraisemblance, de retenir encore un risque d'atteinte au bien des enfants lorsque ceux-ci passent la nuit auprès de leur père, il paraît disproportionné de limiter de manière définitive le droit de visite de cette manière, ce d'autant que ce droit s'est déroulé régulièrement et paisiblement durant plusieurs années jusqu'en janvier 2009. Par conséquent, le dossier sera renvoyé au premier juge pour instruction et nouvelle décision sur la question de l'étendue du droit de visite en faveur du père. Pour ce qui concerne les relations personnelles durant la procédure, la Cour, statuant d'office comme elle peut le faire en matière d'enfants mineurs, prononcera des mesures provisoires (art. 137 al. 2 CC). Celles-ci limiteront le droit de visite, sauf accord contraire des parties, au mardi dès la sortie de l'école jusqu'à 20h00, au vendredi dès la sortie de l'école jusqu'à 22h00, au samedi de 11h00 à 22h00 et à la moitié des vacances scolaires, mais sans les nuits.</w:t>
      </w:r>
    </w:p>
    <w:p>
      <w:r>
        <w:rPr>
          <w:b/>
        </w:rPr>
        <w:t>E. 4</w:t>
      </w:r>
    </w:p>
    <w:p>
      <w:r>
        <w:t>L'appelant conteste le montant des contributions fixées à l'entretien des enfants.</w:t>
      </w:r>
    </w:p>
    <w:p>
      <w:r>
        <w:rPr>
          <w:b/>
        </w:rPr>
        <w:t>E. 4.1</w:t>
      </w:r>
    </w:p>
    <w:p>
      <w:r>
        <w:t>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Il existe différentes méthodes propres à évaluer les besoins de l'enfant en fonction de son âge. On peut d'abord faire référence aux statistiques publiées par le Service de la Jeunesse du canton de Zurich, selon lesquelles ces besoins - pour un enfant d'une fratrie de trois - s'élèvent à 1'515 fr. de 7 à 12 ans et à 1'675 fr. de 13 ans à la majorité (état au 1er janvier 2009 valable également au 1er janvier 2010). Une autre méthode, inspirée de la pratique vaudoise, retient que la contribution à l'entretien de deux enfants peut correspondre à 25 à 27% des revenus nets du débirentier, pour autant que ce dernier réalise des revenus moyens (en détails sur les différentes méthodes : PICHONNAZ, Contributions d'entretien des enfants et nouvelles structures familiales, in Enfant et divorce, Fribourg 2006, p. 16-18). Dans tous les cas, il convient de prendre en compte les particularités de chaque situation, sans faire preuve d'un schématisme aveugle. De plus, la jurisprudence rappelle que, dans le cadre de l'art. 285 al. 1 CC, le juge dispose d'un large pouvoir d'appréciation des faits (ATF 128 III 161 consid. 2/c/aa).</w:t>
      </w:r>
    </w:p>
    <w:p>
      <w:r>
        <w:t>- 9/12 -</w:t>
      </w:r>
    </w:p>
    <w:p>
      <w:r>
        <w:t>C/8953/2009</w:t>
      </w:r>
    </w:p>
    <w:p>
      <w:r>
        <w:rPr>
          <w:b/>
        </w:rPr>
        <w:t>E. 4.2</w:t>
      </w:r>
    </w:p>
    <w:p>
      <w:r>
        <w:t>Les budgets des deux époux présentent en l'espèce des différences fondamentales. Tandis que l'appelant a un disponible de 2'600 fr., l'intimée subit un déficit de l'ordre de 1'900 fr. L'appelant dispose en effet de revenus réguliers de près de 5'400 fr. net pour des charges de près de 2'800 fr. Celles-ci sont composées de son loyer (486 fr.), de ses impôts (567 fr.), de ses frais de transport (70 fr.) ainsi que de l'entretien de base pour une personne seule augmenté de 20% (1'440 fr.). Concernant l'assurance maladie, la Cour se fonde sur les primes versées jusqu'en décembre 2009 (227 fr.), aucune circonstance particulière n'autorisant l'appelant à modifier sa franchise annuelle à compter du 1er janvier 2010, ce qui entraîne une augmentation notable de ses primes (359 fr.). De son côté, l'intimée perçoit des indemnités de chômage de près de 1'200 fr. pour des charges incompressibles de 3'100 fr. environ Celles-ci sont composées de son loyer (558 fr.), des impôts (3 fr.), de sa prime d'assurance-maladie (349 fr.), des frais de transport (160 fr.) et de l'entretien de base pour elle-même (850 fr. soit la moitié d'un couple) et pour les enfants (600 fr. + 600 fr.).</w:t>
      </w:r>
    </w:p>
    <w:p>
      <w:r>
        <w:rPr>
          <w:b/>
        </w:rPr>
        <w:t>E. 4.3</w:t>
      </w:r>
    </w:p>
    <w:p>
      <w:r>
        <w:t>Au vu des budgets précités, l'appelant est en mesure de verser les contributions à l'entretien des enfants, soit en l'état 1'700 fr. (900 fr. pour C______ et 800 fr. pour Axel), et de profiter d'un solde disponible de 900 fr. (5'400 fr. - 2'800 fr. - 1'700 fr.). Si cette contribution ne permet pas - à 200 fr. près - de couvrir le déficit de l'intimée (1'900 fr.), cela est partiellement compensé par le fait que celle-ci vit en concubinage et que son compagnon réalise un revenu mensuel de 3'300 fr. environ. L'appelant fait valoir que la contribution fixée par le Tribunal (1'700 fr. pour les deux enfants) est supérieure à celle qui serait fixée selon la méthode des pourcentages. Cela est exact puisque l'application stricte de cette méthode conduit à une contribution globale de 1'458 fr. (27% de 5'400 fr.). Cette pure comparaison arithmétique ne saurait l'emporter en l'espèce puisque, d'une part, les budgets respectifs des parents sont très différents (cf. consid. 4.2) et que, d'autre part, l'intimée supporte le principal de la prise en charge, en particulier maintenant puisqu'elle héberge les enfants pour la nuit même pendant le droit de visite auprès du père (cf. consid. 3.3). L'appel est ainsi mal fondé. L'appelant estime encore que l'application des tabelles zurichoises conduirait également à une réduction de la contribution d'entretien arrêtée par le premier juge. Par rapport à ces tabelles, il réduit la part au logement à 84 fr. (15% du loyer à la place du poste "Unterkunft" de 285 fr. dès l'âge de 13 ans), il supprime entièrement le poste "Pflege und Erziehung" (200 fr. dès l'âge de 13 ans) et il réduit à 165 fr. le poste "Weitere Kosten" (755 fr. dès l'âge de 13 ans). Si une participation de 84 fr. au loyer est éventuellement admissible, car elle représente</w:t>
      </w:r>
    </w:p>
    <w:p>
      <w:r>
        <w:t>- 10/12 -</w:t>
      </w:r>
    </w:p>
    <w:p>
      <w:r>
        <w:t>C/8953/2009 effectivement 15% du loyer acquitté par l'intimée, les autres réductions ou suppressions n'ont pas lieu d'être si l'on invoque les tabelles de Zurich. Dès lors, l'entretien de chaque enfant doit être réduit de 200 fr. environ (285 fr. - 84 fr.) par rapport aux tabelles de zurichoises. Il en résulte que le coût de l'enfant s'élève à 1'315 fr. jusqu'à 12 ans et à 1'475 fr. dès 13 ans. Dans de telles conditions, on se rend compte que la contribution fixée par le Tribunal (1'700 fr. pour les deux enfants) ne couvre qu'une partie du coût des deux enfants, le solde étant acquitté par les soins en nature prodigués par la mère. Ce grief de l'appelant est donc également mal fondé. Enfin, l'appelant estime que les allocations familiales qu'il perçoit de son employeur doivent être incluses dans les revenus des enfants. Dans la mesure où les revenus de l'appelant permettent aisément de verser la contribution d'entretien fixée par le Tribunal, il faut admettre que les allocations familiales seront ajoutées aux contributions d'entretien, de manière à assurer un niveau de vie meilleur pour les enfants.</w:t>
      </w:r>
    </w:p>
    <w:p>
      <w:r>
        <w:rPr>
          <w:b/>
        </w:rPr>
        <w:t>E. 4.4</w:t>
      </w:r>
    </w:p>
    <w:p>
      <w:r>
        <w:t>En définitive, le montant des contributions arrêtées par le Tribunal pour l'entretien des enfants paraît adapté aux conditions particulières de l'espèce. Le jugement sera donc confirmé sur ce point.</w:t>
      </w:r>
    </w:p>
    <w:p>
      <w:r>
        <w:rPr>
          <w:b/>
        </w:rPr>
        <w:t>E. 5</w:t>
      </w:r>
    </w:p>
    <w:p>
      <w:r>
        <w:t>Les dépens d'appel seront compensés en raison de la qualité des parties (art. 176 al. 3 LPC). * * * * *</w:t>
      </w:r>
    </w:p>
    <w:p>
      <w:r>
        <w:t>- 11/12 -</w:t>
      </w:r>
    </w:p>
    <w:p>
      <w:r>
        <w:t>C/8953/2009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