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ACJC/687/2018 vom 5. Juni 2018</w:t>
      </w:r>
    </w:p>
    <w:p>
      <w:r>
        <w:t>GE Cour de justice, 2018-06-05, FR</w:t>
      </w:r>
    </w:p>
    <w:p>
      <w:r>
        <w:rPr>
          <w:b/>
        </w:rPr>
        <w:t xml:space="preserve">Quelle: </w:t>
      </w:r>
      <w:r>
        <w:t>https://mcp.opencaselaw.ch/entscheid/ge_gerichte_ACJC_687_2018</w:t>
      </w:r>
    </w:p>
    <w:p>
      <w:r>
        <w:t>FR: GE_GERICHTE ACJC/687/2018 du 5 juin 2018</w:t>
      </w:r>
    </w:p>
    <w:p>
      <w:r>
        <w:t>IT: GE_GERICHTE ACJC/687/2018 del 5 giugno 2018</w:t>
      </w:r>
    </w:p>
    <w:p>
      <w:pPr>
        <w:pStyle w:val="Heading2"/>
      </w:pPr>
      <w:r>
        <w:t>Erwägungen</w:t>
      </w:r>
    </w:p>
    <w:p>
      <w:r>
        <w:rPr>
          <w:b/>
        </w:rPr>
        <w:t>E. 1.1</w:t>
      </w:r>
    </w:p>
    <w:p>
      <w:r>
        <w:t>Le jugement entrepris a prononcé l'évacuation des locataires et autorisé la bailleresse à faire appel à la force publique pour faire exécuter l'évacuation dès le 1er septembre 2018.</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4A_388/2016 du 15 mars 2017 consid. 1; 4A_447/2013 du 20 novembre 2013 consid. 1).</w:t>
      </w:r>
    </w:p>
    <w:p>
      <w:r>
        <w:t>Selon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t>En l'espèce, le loyer du logement, charges comprises, s'élevant à 775 fr. par mois, la valeur litigieuse est inférieure à 10'000 fr. (775 fr. x 9 = 6'975 fr.).</w:t>
      </w:r>
    </w:p>
    <w:p>
      <w:r>
        <w:t>La voie de l'appel n'est ainsi pas ouverte contre le prononcé de l'évacuation.</w:t>
      </w:r>
    </w:p>
    <w:p>
      <w:r>
        <w:t>- 5/7 -</w:t>
      </w:r>
    </w:p>
    <w:p>
      <w:r>
        <w:t>C/23103/2017</w:t>
      </w:r>
    </w:p>
    <w:p>
      <w:r>
        <w:t>Par ailleurs, seule la voie du recours est ouverte contre les mesures d'exécution (art. 309 let. a CPC et 319 let. a CPC).</w:t>
      </w:r>
    </w:p>
    <w:p>
      <w:r>
        <w:rPr>
          <w:b/>
        </w:rPr>
        <w:t>E. 1.2</w:t>
      </w:r>
    </w:p>
    <w:p>
      <w:r>
        <w:t>Le recours, écrit et motivé, doit être déposé dans un délai de 10 jours à compter de la notification du jugement (art. 321 al. 1 et 2 CPC), le Tribunal ayant rendu sa décision en procédure sommaire (art. 257 al. 2 CPC).</w:t>
      </w:r>
    </w:p>
    <w:p>
      <w:r>
        <w:t>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 Même si l'art. 311 CPC ne le mentionne pas, le mémoire d'appel doit contenir des conclusions. Elles doivent être formulées de telle sorte qu'en cas d'admission de la demande, elles puissent être reprises dans le jugement sans modification.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consid. 4 à 6, in JdT 2014 II 187/SJ 2012 I 373). En outre,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1.3</w:t>
      </w:r>
    </w:p>
    <w:p>
      <w:r>
        <w:t>En l'espèce, les recourants ne prennent aucune conclusion expresse permettant à la Cour de statuer à nouveau. On comprend de leurs écritures qu'ils contestent la décision prise par le Tribunal. Toutefois, ils se bornent à reprendre les raisons pour lesquelles ils considèrent que le congé n'aurait pas dû leur être notifié, motivation qui ne saurait être reprise</w:t>
      </w:r>
    </w:p>
    <w:p>
      <w:r>
        <w:t>- 6/7 -</w:t>
      </w:r>
    </w:p>
    <w:p>
      <w:r>
        <w:t>C/23103/2017 dans le cadre de la présente procédure, puisque la requête en contestation du congé n'a pas été portée devant le Tribunal. Par ailleurs, ils ne formulent aucune critique quant à la motivation du jugement entrepris, ni quant au prononcé de l'évacuation, ni quant aux mesures d'exécution ordonnées. Par conséquent, leur recours est irrecevable.</w:t>
      </w:r>
    </w:p>
    <w:p>
      <w:r>
        <w:rPr>
          <w:b/>
        </w:rPr>
        <w:t>E. 2</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C/23103/2017 PAR CES MOTIFS, La Chambre des baux et loyers : Déclare irrecevable le recours interjeté le 29 décembre 2017 par B______ et A______ contre le jugement JTBL/1160/2017 rendu le 12 décembre 2017 par le Tribunal des baux et loyers dans la cause C/23103/2017-7-SD. Dit que la procédure est gratuite. Déboute les parties de toutes autres conclusions. Siégeant : Monsieur Ivo BUETTI, président; Madame Fabienne GEISINGER-MARIETHOZ et Madame Eleanor McGREGOR, juges; Madame Laurence CRUCHON et Monsieur Mark MULLER, juges assesseurs; Madame Maïté VALENTE, greffière.</w:t>
      </w:r>
    </w:p>
    <w:p>
      <w:r>
        <w:t>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