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ACJC/686/2018 vom 5. Juni 2018</w:t>
      </w:r>
    </w:p>
    <w:p>
      <w:r>
        <w:t>GE Cour de justice, 2018-06-05, FR</w:t>
      </w:r>
    </w:p>
    <w:p>
      <w:r>
        <w:rPr>
          <w:b/>
        </w:rPr>
        <w:t xml:space="preserve">Quelle: </w:t>
      </w:r>
      <w:r>
        <w:t>https://mcp.opencaselaw.ch/entscheid/ge_gerichte_ACJC_686_2018</w:t>
      </w:r>
    </w:p>
    <w:p>
      <w:r>
        <w:t>FR: GE_GERICHTE ACJC/686/2018 du 5 juin 2018</w:t>
      </w:r>
    </w:p>
    <w:p>
      <w:r>
        <w:t>IT: GE_GERICHTE ACJC/686/2018 del 5 giugno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commentée, Bâle, 2011, n. 13 ad art. 308 CPC; arrêt du Tribunal fédéral 4A_594/2012 du 28 février 2013). En l’occurrence, il ne fait pas de doute que cette valeur litigieuse est dépassée, puisque l’intimée a conclu en première instance à ce que les appelants soient notamment condamnés à lui verser une somme dépassant 99'000 fr. La voie de l’appel est ainsi ouverte, s’agissant du prononcé de l’évacuation et de la condamnation à verser une somme d’argent. En revanche, contre la décision relative à l’exécution de l’évacuation, seule la voie du recours est ouverte (art. 309 let. a CPC).</w:t>
      </w:r>
    </w:p>
    <w:p>
      <w:r>
        <w:rPr>
          <w:b/>
        </w:rPr>
        <w:t>E. 1.2</w:t>
      </w:r>
    </w:p>
    <w:p>
      <w:r>
        <w:t>L’appel et le recours, écrits et motivés, doivent être introduits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Selon l’art. 138, al. 1 CPC, les citations, les ordonnances et les décisions sont notifiées par envoi recommandé ou d’une autre manière contre accusé de réception. L’art. 138 al. 3 CPC prévoit que l’acte est réputé notifié, en cas d’envoi recommandé, lorsque celui-ci n’a pas été retiré à l’expiration d’un délai de sept jours à compter de l’échec de la remise, si le destinataire devait s’attendre à recevoir la notification (let. a).</w:t>
      </w:r>
    </w:p>
    <w:p>
      <w:r>
        <w:t>- 5/8 -</w:t>
      </w:r>
    </w:p>
    <w:p>
      <w:r>
        <w:t>C/18637/2017 En l’espèce, les envois susmentionnés ont fait l’objet d’un avis de retrait en date du 5 octobre 2017, au plus tôt. La notification est dès lors réputée accomplie sept jours plus tard, soit le 12 octobre 2017. Le délai d’appel de dix jours a débuté dès le lendemain, 13 octobre 2017, pour parvenir à échéance le dimanche 22 octobre 2017. En conséquence, l’appel pouvait encore être valablement expédié le premier jour ouvrable suivant, soit le lundi 23 octobre 2017 (art. 142 al. 3 CPC). L’acte d’appel, respectivement le recours, a dès lors été déposé en temps utile.</w:t>
      </w:r>
    </w:p>
    <w:p>
      <w:r>
        <w:rPr>
          <w:b/>
        </w:rPr>
        <w:t>E. 1.3</w:t>
      </w:r>
    </w:p>
    <w:p>
      <w:r>
        <w:t>L'acte d'appel doit contenir des conclusions formulées de telle sorte qu'en cas d'admission de la demande elles pourraient être reprises dans l'arrêt sans modification (arrêt du Tribunal fédéral 5A_663/2011 du 18 décembre 2011 consid. 4.3 et 4.5). L'appel ordinaire a un effet réformatoire et l'appelant doit prendre des conclusions au fond (ATF 137 III 617 consid. 4). En l'espèce, l'appel ne comporte aucune conclusion réformatoire et une telle conclusion ne ressort pas non plus de la motivation de l'acte. Par conséquent l'appel est irrecevable.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Le recours est recevable pour violation du droit ou pour constatation manifestement inexacte des faits (art. 320 let. a et b CPC). Les conclusions, les allégations de faits et les preuves nouvelles sont irrecevables (art. 326 al. 1 CPC). En l’espèce, les locataires n’ont produit aucune pièce nouvelle. Par ailleurs leur acte d’appel et de recours ne contient pas des faits ou des moyens de preuves nouveaux.</w:t>
      </w:r>
    </w:p>
    <w:p>
      <w:r>
        <w:rPr>
          <w:b/>
        </w:rPr>
        <w:t>E. 2</w:t>
      </w:r>
    </w:p>
    <w:p>
      <w:r>
        <w:t>Même si l'appel avait été recevable, il n'aurait pas été fondé pour les motifs qui vont suivre. Les appelants reprochent en bref au Tribunal d’avoir retenu qu’ils étaient locataires de l’appartement ici en cause. Dans la mesure où, selon leur point de vue, le contrat qui les liait à la propriétaire était un prêt à usage gratuit, la juridiction des baux et loyers ne serait pas compétente pour statuer sur la demande déposée. Par ailleurs, le dépôt d’une prochaine demande de révision de l’arrêt rendu le 12 juillet 2017 par la Cour ayant été annoncée, le Tribunal aurait dû surseoir à statuer et fixer une nouvelle audience à une date ultérieure afin de pouvoir en prendre connaissance.</w:t>
      </w:r>
    </w:p>
    <w:p>
      <w:r>
        <w:t>- 6/8 -</w:t>
      </w:r>
    </w:p>
    <w:p>
      <w:r>
        <w:t>C/18637/2017</w:t>
      </w:r>
    </w:p>
    <w:p>
      <w:r>
        <w:rPr>
          <w:b/>
        </w:rPr>
        <w:t>E. 2.1</w:t>
      </w:r>
    </w:p>
    <w:p>
      <w:r>
        <w:t>Il est admis par l’ensemble des parties que l’arrêt rendu par la Cour de justice le 12 juillet 2017 n’a fait l’objet d’aucun recours auprès du Tribunal fédéral, de sorte qu’il est notamment revêtu de l’autorité de la chose jugée, en ce sens qu’il est obligatoire pour les parties et les tribunaux. Il ne peut plus être remis en cause que par la voie qui permet de revoir les décisions judiciaires, à savoir la révision. Il découle de la décision judiciaire susmentionnée que les locataires ont conclu un contrat de bail à loyer avec l’intimée, lequel contrat s’est maintenu jusqu’au 30 juin 2015, suite à la résiliation intervenue par avis officiel du 30 avril 2015. A l’occasion d’une procédure ultérieure, les premiers juges ne pouvaient remettre en cause le contenu matériel de l’arrêt de la Cour de justice. C’est dès lors à juste titre qu’ils se sont basés sur cette dernière décision judiciaire pour retenir que les parties à la présente procédure avaient été liées par un contrat de bail à loyer. En décider autrement aurait manifestement violé le principe de l’autorité de la chose jugée. Quant à la demande de révision, force est de constater qu’elle n’a pas été déposée par les locataires, contrairement à ce que ceux-ci annonçaient devant le Tribunal des baux et loyers. Dans la mesure où, même si cette demande de révision avait été déposée, elle ne suspend en principe pas la force de chose jugée, ni le caractère exécutoire de la décision visée (art. 331 al. 1 CPC), il n’y avait pas lieu de surseoir à statuer dans la présente cause.</w:t>
      </w:r>
    </w:p>
    <w:p>
      <w:r>
        <w:rPr>
          <w:b/>
        </w:rPr>
        <w:t>E. 3</w:t>
      </w:r>
    </w:p>
    <w:p>
      <w:r>
        <w:t>En ce qui concerne le recours contre les mesures d'exécution ordonnées par les premiers juges, les recourants ne font valoir aucun grief, de sorte que le recours est irrecevable.</w:t>
      </w:r>
    </w:p>
    <w:p>
      <w:r>
        <w:rPr>
          <w:b/>
        </w:rPr>
        <w:t>E. 4</w:t>
      </w:r>
    </w:p>
    <w:p>
      <w:r>
        <w:t>L'intimée, qui invoque l'art. 115 CPC, requiert la condamnation de sa partie adverse au paiement des frais judiciaires, ainsi que l'octroi de dépens.</w:t>
      </w:r>
    </w:p>
    <w:p>
      <w:r>
        <w:rPr>
          <w:b/>
        </w:rPr>
        <w:t>E. 4.1</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Les frais judiciaires peuvent, même dans les procédures gratuites, être mis à la charge de la partie qui a procédé de façon téméraire ou de mauvaise foi (art. 115 CPC). Procède notamment de la sorte la partie qui soutient en procédure une thèse si évidemment mal fondée que toute personne raisonnable s'en abstiendrait (TAPPY, in CPC commenté, 2011, n. 4 ad art. 115 CPC et les référence citées). Le juge applique l'art. 115 CPC avec retenue (RÜEGG, BSK ZPO, 2013, n. 2 ad art. 115 CPC). Selon la lettre claire de l'art. 115 CPC, cette disposition ne s'applique qu'aux frais judiciaires (art. 95 al. 2 CPC) et non aux dépens (art. 95 al. 3 CPC; TAPPY, op. cit., n. 9 ad art. 115 CPC).</w:t>
      </w:r>
    </w:p>
    <w:p>
      <w:r>
        <w:t>- 7/8 -</w:t>
      </w:r>
    </w:p>
    <w:p>
      <w:r>
        <w:t>C/18637/2017</w:t>
      </w:r>
    </w:p>
    <w:p>
      <w:r>
        <w:rPr>
          <w:b/>
        </w:rPr>
        <w:t>E. 4.2</w:t>
      </w:r>
    </w:p>
    <w:p>
      <w:r>
        <w:t>Certains des arguments invoqués par les appelants étaient certes dénués de pertinence. Cependant, leurs conclusions d'appel n'apparaissent pas mal fondées au point de justifier l'application de l'art. 115 CPC. Par ailleurs, compte tenu de la lettre claire de l'art. 115 CPC, l'intimée ne pouvait de toute façon pas prétendre à l'allocation de dépens. Partant, il n'y a pas lieu de s'écarter de l'art. 22 al. 1 LaCC. * * * * *</w:t>
      </w:r>
    </w:p>
    <w:p>
      <w:r>
        <w:t>- 8/8 -</w:t>
      </w:r>
    </w:p>
    <w:p>
      <w:r>
        <w:t>C/18637/2017 PAR CES MOTIFS, La Chambre des baux et loyers : Déclare irrecevables l'appel et le recours interjetés le 23 octobre 2017 par A______ et B______ contre le jugement JTBL/905/2017 rendu le 28 septembre 2017 par le Tribunal des baux et loyers dans la cause C/18637/2017-7-SE. Dit que la procédure est gratuite. Siégeant : Madame Nathalie LANDRY-BARTHE, présidente; Madame Sylvie DROIN, Monsieur Laurent RIEBEN, juges; Monsieur Alain MAUNOIR,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