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ACJC/685/2020 vom 25. Mai 2020</w:t>
      </w:r>
    </w:p>
    <w:p>
      <w:r>
        <w:t>GE Cour de justice, 2020-05-25, FR</w:t>
      </w:r>
    </w:p>
    <w:p>
      <w:r>
        <w:rPr>
          <w:b/>
        </w:rPr>
        <w:t xml:space="preserve">Quelle: </w:t>
      </w:r>
      <w:r>
        <w:t>https://mcp.opencaselaw.ch/entscheid/ge_gerichte_ACJC_685_2020</w:t>
      </w:r>
    </w:p>
    <w:p>
      <w:r>
        <w:t>FR: GE_GERICHTE ACJC/685/2020 du 25 mai 2020</w:t>
      </w:r>
    </w:p>
    <w:p>
      <w:r>
        <w:t>IT: GE_GERICHTE ACJC/685/2020 del 25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w:t>
      </w:r>
    </w:p>
    <w:p>
      <w:r>
        <w:t>- 4/7 -</w:t>
      </w:r>
    </w:p>
    <w:p>
      <w:r>
        <w:t>C/17943/2018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 2017,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 la chambre louée, charges comprises, s'élève à 12'000 fr.</w:t>
      </w:r>
    </w:p>
    <w:p>
      <w:r>
        <w:t>En prenant en compte une période de trois ans selon la disposition susmentionnée, la valeur litigieuse est supérieure à 10'000 fr. (12'000 fr. x</w:t>
      </w:r>
    </w:p>
    <w:p>
      <w:r>
        <w:rPr>
          <w:b/>
        </w:rPr>
        <w:t>E. 1.3</w:t>
      </w:r>
    </w:p>
    <w:p>
      <w:r>
        <w:t>L'appel a été interjeté dans le délai prescrit par la loi (art. 130, 131, 311 al. 1 CPC). Il est ainsi recevable sous cet angle.</w:t>
      </w:r>
    </w:p>
    <w:p>
      <w:r>
        <w:rPr>
          <w:b/>
        </w:rPr>
        <w:t>E. 1.4</w:t>
      </w:r>
    </w:p>
    <w:p>
      <w:r>
        <w:t>Dans ses écritures de réponse à l'appel, l'intimé soutient que l'appel déposé le 6 novembre 2019 serait irrecevable faute d'une motivation répondant aux exigences de l'art. 311 CPC.</w:t>
      </w:r>
    </w:p>
    <w:p>
      <w:r>
        <w:rPr>
          <w:b/>
        </w:rPr>
        <w:t>E. 1.4.1</w:t>
      </w:r>
    </w:p>
    <w:p>
      <w:r>
        <w:t>Que la cause soit soumise à la maxime des débats (art. 55 al. 1 CPC) ou, comme en matière de litiges portant sur des baux à loyer, à la procédure simplifiée (art. 243 al. 2 let. c CPC),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1.4.2</w:t>
      </w:r>
    </w:p>
    <w:p>
      <w:r>
        <w:t>En l'occurrence, même si l'appelant évoque plusieurs éléments de fait qui n'ont, selon le dossier, pas été allégués en première instance, il résulte malgré tout de son écriture qu'il s'oppose à la résiliation litigieuse en raison notamment de sa situation personnelle. Dès lors, la motivation est suffisante au regard des</w:t>
      </w:r>
    </w:p>
    <w:p>
      <w:r>
        <w:t>- 5/7 -</w:t>
      </w:r>
    </w:p>
    <w:p>
      <w:r>
        <w:t>C/17943/2018 exigences découlant de l'art. 311 al. 1 CPC, de sorte que l'appel est recevable également sous cet angle.</w:t>
      </w:r>
    </w:p>
    <w:p>
      <w:r>
        <w:rPr>
          <w:b/>
        </w:rPr>
        <w:t>E. 1.5</w:t>
      </w:r>
    </w:p>
    <w:p>
      <w:r>
        <w:t>Dans la mesure où l'acte déposé par l'appelant remplit les conditions légales de l'art. 308 CPC, il doit être déclaré recevable en tant qu'appel, indépendamment des expressions inexactes utilisées par son auteur.</w:t>
      </w:r>
    </w:p>
    <w:p>
      <w:r>
        <w:rPr>
          <w:b/>
        </w:rPr>
        <w:t>E. 1.6</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a produit de nouvelles pièces et fait valoir de nouveaux faits.</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2.2 En l'espèce, les pièces produites par l'appelant consistent soit en des documents et écritures se trouvant déjà dans le dossier de la présente cause, soit en des pièces nouvelles mais datant d'avant la dernière audience devant le Tribunal, soit le 12 septembre 2019, à l'exception de deux documents établis en octobre et novembre 2019, soit une liste de rendez-vous dressée par les Hôpitaux universitaires de Genève (HUG), et un courrier d'avocat du 27 novembre 2019.</w:t>
      </w:r>
    </w:p>
    <w:p>
      <w:r>
        <w:t>Dans ses écritures devant la Cour, l'appelant n'expose pas les motifs pour lesquels les pièces nouvelles antérieures au 12 septembre 2019 n'ont pas été produites en première instance. Elles sont par conséquent irrecevables. Quant au courrier d'avocat du 27 novembre 2019, il est sans portée pour la présente cause, l'appelant n'expliquant pas davantage quel pourrait être sa pertinence en relation avec l'état de fait déterminant.</w:t>
      </w:r>
    </w:p>
    <w:p>
      <w:r>
        <w:t>Seul l'écrit susvisé en provenance des HUG (pièce 4 de l'appelant) remplit les conditions de recevabilité posées par l'art. 317 al. 1 CPC, sous réserve de ce qui suit.</w:t>
      </w:r>
    </w:p>
    <w:p>
      <w:r>
        <w:t>Cette dernière pièce démontre que l'intéressé a neuf rendez-vous échelonnés entre octobre 2019 et mai 2020 aux HUG, auprès des services de ______ et ______, de ______, de ______, de ______, de ______ et ______, de ______ et ______. Dans la mesure où l'appelant a déjà produit, en première instance, de nombreuses pièces</w:t>
      </w:r>
    </w:p>
    <w:p>
      <w:r>
        <w:t>- 6/7 -</w:t>
      </w:r>
    </w:p>
    <w:p>
      <w:r>
        <w:t>C/17943/2018 relatives à son état de santé, que le Tribunal les a prises en considération et que cette liste établie par les HUG n'apporte aucun élément neuf supplémentaire, cette pièce ne modifie en rien la situation personnelle de l'intéressé.</w:t>
      </w:r>
    </w:p>
    <w:p>
      <w:r>
        <w:rPr>
          <w:b/>
        </w:rPr>
        <w:t>E. 3</w:t>
      </w:r>
    </w:p>
    <w:p>
      <w:r>
        <w:t>Les parties s'opposent sur la question de savoir si la chambre louée à l'appelant doit être qualifiée de meublée ou non.</w:t>
      </w:r>
    </w:p>
    <w:p>
      <w:r>
        <w:rPr>
          <w:b/>
        </w:rPr>
        <w:t>E. 3.1</w:t>
      </w:r>
    </w:p>
    <w:p>
      <w:r>
        <w:t>Dans son jugement, le Tribunal a constaté que le contrat de sous-location conclu en 2016 porte sur une chambre meublée et prévoit un délai de résiliation de trois mois. Dans leurs écritures devant la Cour, aucune des parties ne conteste ce qui précède. Au moment de la conclusion du sous-bail, chaque partie a dès lors renoncé au délai de résiliation de deux semaines pour la fin d'un mois qui aurait éventuellement pu découler de l'application de l'art. 266e CO, au profit d'un délai de résiliation plus long.</w:t>
      </w:r>
    </w:p>
    <w:p>
      <w:r>
        <w:t>Il est par conséquent sans pertinence d'examiner si l'objet du contrat pourrait concerner, cas échéant, une chambre meublée, puisque de toutes façons le délai de résiliation de deux semaines est en l'espèce inapplicable. Quant au report des effets de la résiliation à la fin d'un trimestre de bail (art. 266a et 266c CO), soit au 30 novembre 2018, il n'est pas non plus critiqué par les parties.</w:t>
      </w:r>
    </w:p>
    <w:p>
      <w:r>
        <w:t>Il s'ensuit que c'est à juste titre que les premiers juges ont retenu que la résiliation litigieuse produisait ses effets au 30 novembre 2018, correspondant à la fin d'un trimestre de bail.</w:t>
      </w:r>
    </w:p>
    <w:p>
      <w:r>
        <w:rPr>
          <w:b/>
        </w:rPr>
        <w:t>E. 4</w:t>
      </w:r>
    </w:p>
    <w:p>
      <w:r>
        <w:t>Pour le surplus, dans son jugement le Tribunal a tenu compte de la situation personnelle de l'appelant, puisqu'il relate les propos tenus par l'intéressé à l'audience du 12 septembre 2019. La résiliation litigieuse n'apparaît pas non plus contraire aux règles de la bonne foi, au sens visé par l'art. 271 CO, l'appelant ne formulant au demeurant aucun grief clair à ce sujet. Le motif invoqué par l'intimé à l'appui de ce congé, à savoir la résiliation du bail principal, n'est en tant que tel pas contesté par l'appelant, est conforme à la vérité et correspond à un intérêt digne de protection.</w:t>
      </w:r>
    </w:p>
    <w:p>
      <w:r>
        <w:t>S'agissant d'une éventuelle prolongation du bail, au vu de l'art. 273b al. 1 CO, les problèmes de santé de l'appelant, comme les autres circonstances évoquées dans les écritures d'appel, ne permettent pas de prolonger la sous-location au-delà de l'échéance du bail principal, résilié pour le 31 août 2018.</w:t>
      </w:r>
    </w:p>
    <w:p>
      <w:r>
        <w:t>En définitive, c'est à juste titre que le Tribunal a déclaré le congé valable pour le 30 novembre 2018, sans accorder aucune prolongation de bail à l'appelant.</w:t>
      </w:r>
    </w:p>
    <w:p>
      <w:r>
        <w:rPr>
          <w:b/>
        </w:rPr>
        <w:t>E. 5</w:t>
      </w:r>
    </w:p>
    <w:p>
      <w:r>
        <w:t>A teneur de l'art. 22 al. 1 LaCC, il n'est pas prélevé de frais dans les causes soumises à la juridiction des baux et loyers (ATF 139 III 182 consid. 2.6).</w:t>
      </w:r>
    </w:p>
    <w:p>
      <w:r>
        <w:t>- 7/7 -</w:t>
      </w:r>
    </w:p>
    <w:p>
      <w:r>
        <w:t>C/17943/2018 * * * * * PAR CES MOTIFS, La Chambre des baux et loyers : A la forme : Déclare recevable l'appel interjeté le 6 novembre 2019 par A______ contre le jugement JTBL/936/2019 rendu le 7 octobre 2019 par le Tribunal des baux et loyers dans la cause C/17943/2018. Au fond : Confirme ce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