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ACJC/683/2022 vom 23. Mai 2022</w:t>
      </w:r>
    </w:p>
    <w:p>
      <w:r>
        <w:t>GE Cour de justice, 2022-05-23, FR</w:t>
      </w:r>
    </w:p>
    <w:p>
      <w:r>
        <w:rPr>
          <w:b/>
        </w:rPr>
        <w:t xml:space="preserve">Quelle: </w:t>
      </w:r>
      <w:r>
        <w:t>https://mcp.opencaselaw.ch/entscheid/ge_gerichte_ACJC_683_2022</w:t>
      </w:r>
    </w:p>
    <w:p>
      <w:r>
        <w:t>FR: GE_GERICHTE ACJC/683/2022 du 23 mai 2022</w:t>
      </w:r>
    </w:p>
    <w:p>
      <w:r>
        <w:t>IT: GE_GERICHTE ACJC/683/2022 del 23 maggio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arrêt du Tribunal fédéral 4A_594/2012 du 28 février 2013).</w:t>
      </w:r>
    </w:p>
    <w:p>
      <w:r>
        <w:t>- 4/6 -</w:t>
      </w:r>
    </w:p>
    <w:p>
      <w:r>
        <w:t>C/604/2021 Selon la jurisprudence constante du Tribunal fédéral, les contestations portant sur l'usage d'une chose louée sont de nature pécuniaire (arrêt du Tribunal fédéral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136 III 196 consid. 1.1). En l'espèce, compte tenu du loyer annuel de 780 fr. pour chaque dépôt (2x 780 fr. x 3 = 4'680 fr.), la valeur litigieuse est supérieure à 10'000 fr., de sorte que la voie de l'appel n'est pas ouverte. Seule la voie du recours est ouverte (art. 319 let. a CPC). Le recours, en dépit de son intitulé erroné, ayant été interjeté dans le délai prévu par la loi, est recevable sous cet angle (art. 130 et 131 CPC). 1.2.1 A teneur de l'art. 321 al. 1 CPC, il incombe à la partie appelante de motiver son appel, c'est-à-dire de démontrer le caractère erroné de la motivation attaquée (ATF 138 III 374 consid. 4.3.1); Pour satisfaire à cette exigence, il ne lui suffit ainsi pas de renvoyer aux moyens soulevés en première instance, ni de se livrer à des critiques toutes générales de la décision attaquée. La motivation du recours doit être suffisamment explicite pour que l'instance d'appel puisse la comprendre aisément, ce qui suppose une désignation précise des passages de la décision que la partie recourante attaque et des pièces du dossier sur lesquelles repose sa critique (ATF 138 III 374 consid. 4.3.1 précité; arrêt du Tribunal fédéral 5A_356/2020 du 9 juillet 2020 consid. 3.2). Cette obligation s'applique aux griefs de violation du droit (arrêt du Tribunal fédéral 4A_290/2014 du 1er septembre 2014 consid. 5). La partie recourante doit tenter de démontrer que sa thèse l'emporte sur celle de la décision attaquée. Elle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ces conditions ne sont pas remplies, le recours est irrecevable (arrêt du Tribunal fédéral 5A_356/2020 précité, ibidem).</w:t>
      </w:r>
    </w:p>
    <w:p>
      <w:r>
        <w:t>- 5/6 -</w:t>
      </w:r>
    </w:p>
    <w:p>
      <w:r>
        <w:t>C/604/2021</w:t>
      </w:r>
    </w:p>
    <w:p>
      <w:r>
        <w:t>1.2.2 Dans le présent cas, le recourant se borne à soutenir que les congés seraient abusifs et que le box proposé par l'intimée serait "disproportionné". Il ne critique toutefois pas le raisonnement des premiers juges selon lequel les baux en cause ne bénéficient pas de la protection contre les congés abusifs. Il ne conteste pas non plus que les congés donnés l'ont été dans le respect du préavis légal.</w:t>
      </w:r>
    </w:p>
    <w:p>
      <w:r>
        <w:t>Par conséquent, le recours est irrecevable.</w:t>
      </w:r>
    </w:p>
    <w:p>
      <w:r>
        <w:rPr>
          <w:b/>
        </w:rPr>
        <w:t>E. 2</w:t>
      </w:r>
    </w:p>
    <w:p>
      <w:r>
        <w:t>Même s'il avait été recevable, le recours aurait été infondé.</w:t>
      </w:r>
    </w:p>
    <w:p>
      <w:r>
        <w:rPr>
          <w:b/>
        </w:rPr>
        <w:t>E. 2.1</w:t>
      </w:r>
    </w:p>
    <w:p>
      <w:r>
        <w:t>Le bail à loyer est un contrat par lequel le bailleur s'oblige à céder l'usage d'une chose au locataire, moyennant un loyer (art. 253 CO).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Par local commercial, il faut comprendre tout local qui sert à l'exploitation d'une activité commerciale ou, au sens large, à l'exercice d'une activité professionnelle (ATF 124 III 108 - JT 1999 I 107, p. 110). L'activité peut prendre les formes les plus variées : commerce, fabrication, prestation de services, artisanat,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(BOHNET/DIETSCHI, op. cit., n. 11 ad art. 253a CO; KNOEPFLER/RUEDIN, Regard circulaire sur le droit du bail commercial, in 13ème Séminaire sur le droit du bail, Neuchâtel 2004, pp. 5-6).</w:t>
      </w:r>
    </w:p>
    <w:p>
      <w:r>
        <w:rPr>
          <w:b/>
        </w:rPr>
        <w:t>E. 2.2</w:t>
      </w:r>
    </w:p>
    <w:p>
      <w:r>
        <w:t>En l'espèce, les contrats de bail portent sur la mise à disposition de dépôts. Par ailleurs, en dépit de l'utilisation d'un bail préimprimé destiné à des locaux commerciaux, il ne résulte pas de la procédure que les parties au contrat aient envisagé l'exercice d'une activité commerciale dans les locaux en cause. Le recourant a d'ailleurs déclaré devant le Tribunal utiliser les dépôts pour y entreposer ses affaires personnelles. Par conséquent, les locaux en cause ne constituent pas des locaux commerciaux, de sorte qu'ils ne bénéficient pas de la protection contre les congés institués par les art. 271 ss CO.</w:t>
      </w:r>
    </w:p>
    <w:p>
      <w:r>
        <w:rPr>
          <w:b/>
        </w:rPr>
        <w:t>E. 3</w:t>
      </w:r>
    </w:p>
    <w:p>
      <w:r>
        <w:t>A teneur de l'art. 22 al. 1 LaCC, la procédure est gratuite (ATF 139 III 182 consid. 2.6). * * * * *</w:t>
      </w:r>
    </w:p>
    <w:p>
      <w:r>
        <w:t>- 6/6 -</w:t>
      </w:r>
    </w:p>
    <w:p>
      <w:r>
        <w:t>C/604/2021</w:t>
      </w:r>
    </w:p>
    <w:p>
      <w:r>
        <w:t>PAR CES MOTIFS, La Chambre des baux et loyers :</w:t>
      </w:r>
    </w:p>
    <w:p>
      <w:r>
        <w:t>Déclare irrecevable le recours interjeté le 27 janvier 2022 par A______ contre le jugement JTBL/1060/2021 rendu le 21 décembre 2021 par le Tribunal des baux et loyers dans la cause C/604/2021.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