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ACJC/682/2013 vom 29. Mai 2013</w:t>
      </w:r>
    </w:p>
    <w:p>
      <w:r>
        <w:t>GE Cour de justice, 2013-05-29, FR</w:t>
      </w:r>
    </w:p>
    <w:p>
      <w:r>
        <w:rPr>
          <w:b/>
        </w:rPr>
        <w:t xml:space="preserve">Quelle: </w:t>
      </w:r>
      <w:r>
        <w:t>https://mcp.opencaselaw.ch/entscheid/ge_gerichte_ACJC_682_2013</w:t>
      </w:r>
    </w:p>
    <w:p>
      <w:r>
        <w:t>FR: GE_GERICHTE ACJC/682/2013 du 29 mai 2013</w:t>
      </w:r>
    </w:p>
    <w:p>
      <w:r>
        <w:t>IT: GE_GERICHTE ACJC/682/2013 del 29 maggio 2013</w:t>
      </w:r>
    </w:p>
    <w:p>
      <w:pPr>
        <w:pStyle w:val="Heading2"/>
      </w:pPr>
      <w:r>
        <w:t>Erwägungen</w:t>
      </w:r>
    </w:p>
    <w:p>
      <w:r>
        <w:rPr>
          <w:b/>
        </w:rPr>
        <w:t>E. 1</w:t>
      </w:r>
    </w:p>
    <w:p>
      <w:r>
        <w:t>Selon l'art. 308 al. 1 let. a CPC, l'appel est recevable contre les décisions finales et les décisions incidentes de première instance.</w:t>
      </w:r>
    </w:p>
    <w:p>
      <w:r>
        <w:t>Dans les affaires patrimoniales, l'appel est recevable si la valeur litigieuse au dernier état des conclusions est de 10'000 fr. au moins (art. 308 al. 2 CPC).</w:t>
      </w:r>
    </w:p>
    <w:p>
      <w:r>
        <w:rPr>
          <w:b/>
        </w:rPr>
        <w:t>E. 1.1</w:t>
      </w:r>
    </w:p>
    <w:p>
      <w:r>
        <w:t>L'appel, écrit et motivé, est introduit auprès de l'instance d'appel dans les 30 jours à compter de sa notification (art. 311 al. 1 CPC).</w:t>
      </w:r>
    </w:p>
    <w:p>
      <w:r>
        <w:t>L'acte doit indiquer en quoi la décision querellée est erronée et pour quel motif il se justifie de la modifier. L'absence de motivation conduit à l'irrecevabilité de l'acte de recours (REETZ/THEILER, in Kommentar zur Schweizerischen Zivilprozessordnung [ZPO], SUTTER-SOMM/HASENBÖHLER/LEUENBERGER [éd.], 2010, n. 12 et n. 38 ad art. 311 CPC).</w:t>
      </w:r>
    </w:p>
    <w:p>
      <w:r>
        <w:t>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w:t>
      </w:r>
    </w:p>
    <w:p>
      <w:r>
        <w:rPr>
          <w:b/>
        </w:rPr>
        <w:t>E. 1.2</w:t>
      </w:r>
    </w:p>
    <w:p>
      <w:r>
        <w:t>En l'espèce, le jugement entrepris est une décision finale rendue dans une cause patrimoniale dans laquelle les conclusions, dans leur dernier état devant le Tribunal de première instance, portaient sur un montant supérieur à 10'000 fr.</w:t>
      </w:r>
    </w:p>
    <w:p>
      <w:r>
        <w:t>Le présent appel, déposé dans les formes et selon le délai prévu par la loi, est recevable, sous réserve des considérations qui suivent.</w:t>
      </w:r>
    </w:p>
    <w:p>
      <w:r>
        <w:t>Aux termes de ses conclusions principales, l'appelant, qui sollicite l'annulation de la décision attaquée, reconnaît devoir le montant de 55'916 fr., avec suite d'intérêts dès la date retenue par le Tribunal, "avant expertise réservée", tout en concluant</w:t>
      </w:r>
    </w:p>
    <w:p>
      <w:r>
        <w:t>- 9/13 -</w:t>
      </w:r>
    </w:p>
    <w:p>
      <w:r>
        <w:t>C/5225/2011 au déboutement de l'intimée de toutes ses conclusions, et en indiquant une valeur litigieuse de 107'084 fr. (correspondant à la différence entre le montant alloué dans le jugement et le montant précité). Dans ses conclusions subsidiaires, il requiert que la cause soit renvoyée au premier juge, et qu'une expertise soit ordonnée.</w:t>
      </w:r>
    </w:p>
    <w:p>
      <w:r>
        <w:t>Ainsi que le relève l'intimée, ces conclusions sont difficilement intelligibles en tant qu'elles visent l'expertise.</w:t>
      </w:r>
    </w:p>
    <w:p>
      <w:r>
        <w:t>En tout état, si l'on devait en déduire que l'appelant s'en prend au refus du Tribunal d'ordonner une expertise, force serait de constater qu'aucune critique n'est adressée à la décision rendue sur ce point, seules des considérations générales sur la violation du droit à la preuve étant émises. Par conséquent, en tant que l'appelant aurait formulé un chef de conclusions principal au sujet d'une expertise, celle-ci serait irrecevable, faute de motivation au sens de la jurisprudence rappelée ci-dessus.</w:t>
      </w:r>
    </w:p>
    <w:p>
      <w:r>
        <w:rPr>
          <w:b/>
        </w:rPr>
        <w:t>E. 2</w:t>
      </w:r>
    </w:p>
    <w:p>
      <w:r>
        <w:t>Il est admis que les tribunaux genevois sont compétents ratione loci (art. 31, 9 et 18 CPC), et que l'action, en tant qu'elle a pour but de valider l'inscription provisoire accordée par ordonnance du 23 février 2011, a été introduite dans le délai prescrit.</w:t>
      </w:r>
    </w:p>
    <w:p>
      <w:r>
        <w:rPr>
          <w:b/>
        </w:rPr>
        <w:t>E. 3</w:t>
      </w:r>
    </w:p>
    <w:p>
      <w:r>
        <w:t>L'appelant reproche au Tribunal d'avoir pris pour base de détermination du solde dû les accords des parties des 10/11 novembre 2009, et 17 octobre 2010, ainsi que son courrier du 17 décembre 2010, plutôt que son décompte du 25 janvier 2011 et les déductions opérées subséquemment. Il fait valoir dans ce cadre une violation du droit à la preuve, ainsi que de l'art. 373 CO.</w:t>
      </w:r>
    </w:p>
    <w:p>
      <w:r>
        <w:rPr>
          <w:b/>
        </w:rPr>
        <w:t>E. 3.1</w:t>
      </w:r>
    </w:p>
    <w:p>
      <w:r>
        <w:t>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De manière générale, le débiteur peut se prévaloir de toutes les objections et exceptions qui sont dirigées contre la dette reconnue (ATF 131 III 268 consid. 3.2; arrêt du Tribunal fédéral 4C.30_2006 du 18 mai 2006, consid. 3.2; TEVINI, Code des obligations, Commentaire romand, 2012, ad art. 17 n. 7).</w:t>
      </w:r>
    </w:p>
    <w:p>
      <w:r>
        <w:rPr>
          <w:b/>
        </w:rPr>
        <w:t>E. 3.2</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w:t>
      </w:r>
    </w:p>
    <w:p>
      <w:r>
        <w:t>- 10/13 -</w:t>
      </w:r>
    </w:p>
    <w:p>
      <w:r>
        <w:t>C/5225/2011 même si l'ouvrage a exigé moins de travail que ce qui avait été prévu (al. 3). En ce sens, on admet que le prix forfaitaire ou prix ferme fixe une limite à la fois maximale et minimale pour la rémunération de l'entrepreneur.</w:t>
      </w:r>
    </w:p>
    <w:p>
      <w:r>
        <w:t>La partie qui prétend à l'existence de prix ferme a la charge de la preuve (arrêt du Tribunal fédéral 4C.23/2004 du 14 décembre 2004, consid. 3.1 et les références). Le caractère ferme du prix forfaitaire n'est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(arrêt cité, consid. 4.1 et les références).</w:t>
      </w:r>
    </w:p>
    <w:p>
      <w:r>
        <w:rPr>
          <w:b/>
        </w:rPr>
        <w:t>E. 3.3</w:t>
      </w:r>
    </w:p>
    <w:p>
      <w:r>
        <w:t>En l'occurrence, il est établi que les parties se sont liées par un contrat d'entreprise et qu'elles sont convenues d'un prix à forfait, dont elles admettent qu'il a été arrêté à 674'414 fr.</w:t>
      </w:r>
    </w:p>
    <w:p>
      <w:r>
        <w:t>Il est constant que l'appelant a procédé au règlement d'une partie de ce montant par le versement d'acomptes dont le montant n'est pas litigieux. Les parties se sont en revanche divisées sur l'application de l'escompte stipulé entre elles.</w:t>
      </w:r>
    </w:p>
    <w:p>
      <w:r>
        <w:t>Abstraction faite de cette difficulté, l'appelant a, tant en octobre 2010 qu'en décembre 2010 - soit postérieurement à la réception des travaux intervenue le 19 octobre 2010 - reconnu devoir à l'intimée le solde réclamé par celle-ci.</w:t>
      </w:r>
    </w:p>
    <w:p>
      <w:r>
        <w:t>Ultérieurement, l'appelant a renoncé à contester la position de l'intimée relative au taux d'escompte, et adopté, dès le 25 janvier 2011, le montant consenti à ce titre par l'entreprise. Il n'y a dès lors pas lieu de revenir sur ce point, au demeurant absent de l'appel.</w:t>
      </w:r>
    </w:p>
    <w:p>
      <w:r>
        <w:t>Après le dépôt par l'intimée de la requête d'inscription d'hypothèque légale, l'appelant a invoqué, pour la première fois, une déduction à opérer sur les reconnaissances de dettes des 11 octobre et 17 décembre 2010, en se prévalant de la non-réalisation de travaux par la précitée, ainsi que de l'exécution d'un poste de travaux à double, pour un montant total de 84'066 fr. Il ne se considérait dès lors débiteur que de 78'896 fr. Dans le cadre de sa réponse de première instance, l'appelant a déclaré déduire, en outre, de ce montant encore 12'000 fr. correspondant à une facture de bouche-pores, et 10'980 fr. pour la réparation de coulures. Il s'est encore prévalu de compensation avec d'autres montants résultant de la réparation de dommages, argumentation à laquelle il a renoncé en appel.</w:t>
      </w:r>
    </w:p>
    <w:p>
      <w:r>
        <w:t>- 11/13 -</w:t>
      </w:r>
    </w:p>
    <w:p>
      <w:r>
        <w:t>C/5225/2011</w:t>
      </w:r>
    </w:p>
    <w:p>
      <w:r>
        <w:t>Au vu de l'existence des reconnaissances de dettes qu'il a établies, il appartient à l'appelant d'apporter la preuve des exceptions qu'il invoque pour s'en libérer, étant précisé, comme l'a justement retenu le premier juge, qu'il est en mesure de disposer, en sa qualité de maître de l'ouvrage, des rapports de chantier et relevés signés par ses mandataires.</w:t>
      </w:r>
    </w:p>
    <w:p>
      <w:r>
        <w:rPr>
          <w:b/>
        </w:rPr>
        <w:t>E. 3.3.1</w:t>
      </w:r>
    </w:p>
    <w:p>
      <w:r>
        <w:t>S'agissant de l'intervention de l'entreprise F______, l'appelant soutient une position confuse, dont il résulte, au gré de ses différentes affirmations, qu'il aurait été directement lié à elle, ou bien qu'il n'aurait jamais eu de contrat parce que cette entreprise agissait uniquement comme sous-traitante de l'intimée.</w:t>
      </w:r>
    </w:p>
    <w:p>
      <w:r>
        <w:t>Les témoins H______ et G______ (en dépit du caractère apparem-ment contradictoire de sa déposition) ont fait état, de façon concordante, de travaux supplémentaires, confiés directement à F______.</w:t>
      </w:r>
    </w:p>
    <w:p>
      <w:r>
        <w:t>L'appelant affirme que la facture no 5______ en 19'000 fr. payée à cette entreprise relevait de travaux compris dans la soumission, ce qu'a confirmé le témoin D______. Il soutient, en outre, que les travaux "CFC 8______" constitueraient l'objet de la facture F______ no 6______ en 25'000 fr. - non produite - de sorte qu'il y aurait lieu de retrancher de la prétention de l'intimée le poste de travaux correspondants, en 37'328 fr.</w:t>
      </w:r>
    </w:p>
    <w:p>
      <w:r>
        <w:t>A supposer qu'il soit pertinent d'examiner dans le cadre d'un prix à forfait le détail de la réalisation et de la facturation des travaux, il apparaît en tout état que l'appelant n'a pas démontré le bien-fondé de ses allégations. Celles-ci, qui ne trouvent appui dans aucune pièce produite, se heurtent, en effet, tant au libellé de la facture F______ no 9______, qui fait état de travaux supplémentaires, qu'aux explications claires et convaincantes du témoin G______, lequel a détaillé la raison d'être de ces travaux, rendus nécessaires par des éléments imprévus au début du chantier.</w:t>
      </w:r>
    </w:p>
    <w:p>
      <w:r>
        <w:rPr>
          <w:b/>
        </w:rPr>
        <w:t>E. 3.3.2</w:t>
      </w:r>
    </w:p>
    <w:p>
      <w:r>
        <w:t>L'appelant affirme, par ailleurs, que le devis no 7______(introduction SI) facturé par l'intimée en sus du montant des travaux adjugés à forfait serait déjà compris dans celui-ci; à cet égard, il paraît se référer, pour la première fois dans son appel, à une "soumission contrôlée" les 14 ou 24 octobre 2009, qu'il n'a pas produite. Il n'a donc pas apporté la démonstration de son allégation.</w:t>
      </w:r>
    </w:p>
    <w:p>
      <w:r>
        <w:rPr>
          <w:b/>
        </w:rPr>
        <w:t>E. 3.3.4</w:t>
      </w:r>
    </w:p>
    <w:p>
      <w:r>
        <w:t>L'appelant soutient encore que des travaux relatifs à des eaux pluviales n'auraient pas été réalisés par l'intimée, mais par une entreprise tierce. A nouveau, il n'a démontré ni que l'intimée aurait refusé d'exécuter ces travaux (que B______ admet avoir réservé pour la période postérieure à la démonte de l'échafaudage), ni que ceux-ci auraient été effectués par un tiers, ni, enfin, qu'il aurait payé le montant de 6'384 fr. à ce titre.</w:t>
      </w:r>
    </w:p>
    <w:p>
      <w:r>
        <w:t>- 12/13 -</w:t>
      </w:r>
    </w:p>
    <w:p>
      <w:r>
        <w:t>C/5225/2011</w:t>
      </w:r>
    </w:p>
    <w:p>
      <w:r>
        <w:rPr>
          <w:b/>
        </w:rPr>
        <w:t>E. 3.3.5</w:t>
      </w:r>
    </w:p>
    <w:p>
      <w:r>
        <w:t>En ce qui concerne les déductions supplémentaires invoquées par l'appelant en procédure, il apparaît que l'intervention par l'entreprise J______ était prévue dès avril 2010 (comme mentionné dans un courrier de l'intimée) ou juillet 2010 (date du premier devis de cette entreprise) à tout le moins. Il était donc clair que l'intimée n'effectuerait pas ces travaux, sans que cela n'ait d'influence sur le prix forfaitaire convenu. Aucune remarque n'a d'ailleurs été émise à ce sujet par l'appelant, ni lors de la réception des travaux, ni lors de l'acceptation de la facture en octobre 2010, ni même dans l'arrêté de janvier 2011.</w:t>
      </w:r>
    </w:p>
    <w:p>
      <w:r>
        <w:t>Enfin, le montant prétendu en lien avec la réparation d'un défaut, représentant l'élimination de coulures, est sans fondement, faute d'émission de tout avis à cet égard, et vu la réception de l'ouvrage par l'architecte de l'appelant, sans émission d'aucune réserve sur ce point (cf art. 367 CO).</w:t>
      </w:r>
    </w:p>
    <w:p>
      <w:r>
        <w:rPr>
          <w:b/>
        </w:rPr>
        <w:t>E. 3.3.6</w:t>
      </w:r>
    </w:p>
    <w:p>
      <w:r>
        <w:t>Il suit de ce qui précède que l'appelant a échoué à démontrer qu'il ne devait pas 163'000 fr. à l'intimée.</w:t>
      </w:r>
    </w:p>
    <w:p>
      <w:r>
        <w:t>C'est dès lors à raison que le premier juge l'a condamné au paiement dudit montant, puis, en application de l'art. 839 al. 3 CC, a fait droit aux conclusions de l'intimée en inscription définitive d'hypothèque légale, à due concurrence.</w:t>
      </w:r>
    </w:p>
    <w:p>
      <w:r>
        <w:t>Le jugement attaqué sera donc confirmé.</w:t>
      </w:r>
    </w:p>
    <w:p>
      <w:r>
        <w:rPr>
          <w:b/>
        </w:rPr>
        <w:t>E. 4</w:t>
      </w:r>
    </w:p>
    <w:p>
      <w:r>
        <w:t>L'appelant, qui succombe, supportera les frais de son appel (art. 106 al. 1 CPC), arrêtés à 10'200 fr. (art. 17, 25 RTFMC), couverts par l'avance de frais déjà opérée.</w:t>
      </w:r>
    </w:p>
    <w:p>
      <w:r>
        <w:t>Il versera en outre à l'intimée des dépens d'un montant de 9'000 fr., débours et TVA inclus (art. 85, 90 RFMC). * * * * *</w:t>
      </w:r>
    </w:p>
    <w:p>
      <w:r>
        <w:t>- 13/13 -</w:t>
      </w:r>
    </w:p>
    <w:p>
      <w:r>
        <w:t>C/5225/2011 PAR CES MOTIFS, La Chambre civile : A la forme : Déclare recevable l'appel interjeté par A______ contre le jugement JTPI/15372/2012 rendu le 25 octobre 2010 par le Tribunal de première instance dans la cause C/5225/2011-10. Au fond : Confirme ce jugement. Déboute les parties de toutes autres conclusions. Sur les frais : Met à la charge de A______ les frais d'appel, arrêtés à 10'200 fr., et couverts par l'avance déjà opérée. Condamne A______ à verser à B______ 10'000 fr. à titre de dépens d'appel.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