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ACJC/681/2020 vom 19. Mai 2020</w:t>
      </w:r>
    </w:p>
    <w:p>
      <w:r>
        <w:t>GE Cour de justice, 2020-05-19, FR</w:t>
      </w:r>
    </w:p>
    <w:p>
      <w:r>
        <w:rPr>
          <w:b/>
        </w:rPr>
        <w:t xml:space="preserve">Quelle: </w:t>
      </w:r>
      <w:r>
        <w:t>https://mcp.opencaselaw.ch/entscheid/ge_gerichte_ACJC_681_2020</w:t>
      </w:r>
    </w:p>
    <w:p>
      <w:r>
        <w:t>FR: GE_GERICHTE ACJC/681/2020 du 19 mai 2020</w:t>
      </w:r>
    </w:p>
    <w:p>
      <w:r>
        <w:t>IT: GE_GERICHTE ACJC/681/2020 del 19 maggio 2020</w:t>
      </w:r>
    </w:p>
    <w:p>
      <w:pPr>
        <w:pStyle w:val="Heading2"/>
      </w:pPr>
      <w:r>
        <w:t>Erwägungen</w:t>
      </w:r>
    </w:p>
    <w:p>
      <w:r>
        <w:rPr>
          <w:b/>
        </w:rPr>
        <w:t>E. 1</w:t>
      </w:r>
    </w:p>
    <w:p>
      <w:r>
        <w:t>1.1.1 L'appel est recevable contre les décisions de première instance sur mesures provisionnelles (art. 308 al. 1 let. b CPC). Dans les affaires patrimoniales, il est recevable si la valeur litigieuse au dernier état des conclusions est de 10'000 fr. au moins (art. 308 al. 2 CPC).</w:t>
      </w:r>
    </w:p>
    <w:p>
      <w:r>
        <w:t>1.1.2 En l'espèce, l'appelant soutient que la valeur litigieuse est supérieure à 10'000 fr. Au regard du montant du capital-actions de la société, qui est de 100'000 fr., la Cour retiendra dès lors que la valeur litigieuse est supérieure à 10'000 fr. (en ce sens : FONTANET/JEANDIN, Le blocage du Registre du commerce et sa validation, in Revue de droit privé et fiscal du patrimoine, Not@lex 2016, p. 61).</w:t>
      </w:r>
    </w:p>
    <w:p>
      <w:r>
        <w:t>L'appel est donc recevable sous cet angle.</w:t>
      </w:r>
    </w:p>
    <w:p>
      <w:r>
        <w:t>1.2.1 L'art. 311 al. 1 CPC prescrit qu'il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et elle doit présenter ses griefs de violation du droit et de constatation inexacte des faits (arrêt du Tribunal fédéral 4A_659/2011 du 7 décembre 2011 consid. 3).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4A_593/2015 du 13 décembre 2016</w:t>
      </w:r>
    </w:p>
    <w:p>
      <w:r>
        <w:t>- 6/12 -</w:t>
      </w:r>
    </w:p>
    <w:p>
      <w:r>
        <w:t>C/22398/2019 consid. 5.1; 4A_290/2014 du 1er septembre 2014 consid. 3.1; 5A_438/2012 du 27 août 2012 consid. 2.2). Une motivation succincte ou sommaire peut, suivant les circonstances, être suffisante (REETZ/THEILER, in Kommentar zur Schweizerischen Zivilprozessordnung, 2016,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in Code de procédure civile commenté, 2019, n. 3 ad art. 311 CPC; REETZ/ THEILER, op. cit., n. 38 ad art. 311 CPC). Par ailleurs, l'échange d'écritures prévu à l'art. 312 al. 1 CPC vise à faire respecter le droit d'être entendu de la partie intimée à l'appel, et non à donner ensuite l'occasion à l'appelant, qui n'aurait pas été complet, de s'exprimer lors d'un second échange d'écritures. L'appelant a seulement le droit de répliquer si la partie intimée fait usage de son propre droit de réponse. Il supporte donc les conséquences de sa renonciation à s'exprimer de manière claire et complète dans son mémoire d'appel (arrêts du Tribunal fédéral 5A_851/2015 du 23 mars 2016 consid. 3.2; 5A_737/2012 du 23 janvier 2013 consid. 4.2.3). Il est communément admis en procédure que la motivation d'un acte de recours doit être entièrement contenue dans l'acte de recours lui-même; elle ne saurait dès lors être complétée ou corrigée ultérieurement (arrêt du Tribunal fédéral 1B_183/2012 du 20 novembre 2012 consid. 2 et les références citées). 1.2.2 En l'espèce, l'appelant conclut à ce que l'ordonnance querellée soit annulée et à ce que la requête en mesures provisionnelles du blocage du Registre du commerce soit accueillie. Toutefois, il ne précise pas en quoi la décision du premier juge serait entachée d'erreurs. Son appel ne contient aucune motivation que ce soit concernant une mauvaise application du droit ou une constatation inexacte des faits. L'appelant se contente en effet de reprendre ses allégués de fait de première instance qu'il complète au moyen de pièces qu'il n'avait pu fournir devant le Tribunal. La recevabilité de l'appel peut toutefois souffrir de demeurer indécise, pour les motifs qui vont suivre.</w:t>
      </w:r>
    </w:p>
    <w:p>
      <w:r>
        <w:rPr>
          <w:b/>
        </w:rPr>
        <w:t>E. 2</w:t>
      </w:r>
    </w:p>
    <w:p>
      <w:r>
        <w:t>L'appelant a produit de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- 7/12 -</w:t>
      </w:r>
    </w:p>
    <w:p>
      <w:r>
        <w:t>C/22398/2019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w:t>
      </w:r>
    </w:p>
    <w:p>
      <w:r>
        <w:rPr>
          <w:b/>
        </w:rPr>
        <w:t>E. 2.2</w:t>
      </w:r>
    </w:p>
    <w:p>
      <w:r>
        <w:t>En l'espèce, la pièce n. 6, soit le "Partnership Agreement" du 1er septembre 2003 a été établie antérieurement à la date à laquelle le Tribunal a gardé la cause à juger. L'appelant ne démontre pas pour quel motif il aurait été empêché de produire cette pièce en première instance. Son allégation selon laquelle il n'était que partiellement en sa possession lors de l'introduction de sa requête n'est corroborée par aucun élément de la procédure. Partant, cette pièce est irrecevable. La recevabilité de la pièce n. 7, soit la "Déclaration I et II de non reprise de 2003" peut demeurer ouverte, dès lors qu'elle n'est pas déterminante pour l'issue du litige.</w:t>
      </w:r>
    </w:p>
    <w:p>
      <w:r>
        <w:rPr>
          <w:b/>
        </w:rPr>
        <w:t>E. 3</w:t>
      </w:r>
    </w:p>
    <w:p>
      <w:r>
        <w:t>A bien le comprendre, l'appelant soutient qu'en l'absence de "blocage de registre", il perdrait ses droits d'actionnaire et de créancier.</w:t>
      </w:r>
    </w:p>
    <w:p>
      <w:r>
        <w:rPr>
          <w:b/>
        </w:rPr>
        <w:t>E. 3.1</w:t>
      </w:r>
    </w:p>
    <w:p>
      <w:r>
        <w:t>Selon l'art. 162 al. 1 ORC, si des tiers forment opposition par écrit contre une inscription, l'office du registre du commerce sursoit à l'inscription au registre journalier (blocage du registre). L'opposant dispose, une fois le blocage requis, d'un délai de 10 jours pour déposer une requête de mesures provisionnelles devant le juge compétent. A défaut le blocage prend fin (art. 162 al. 3 let. a ORC). Selon la doctrine, lorsqu'un tiers est directement touché par une inscription du registre, il a la possibilité - sous réserve que les conditions d'une telle action soit données - de se prévaloir du droit matériel en contestant au fond, par devant les tribunaux compétents, la décision ayant mené à l'inscription litigieuse; dans la foulée, il demandera au juge d'ordonner la modification du registre ou la radiation de l'inscription (art. 19 al. 1 ORC). Lorsque l'inscription litigieuse n'a pas encore été opérée au registre, seule la voie du blocage provisionnel de l'art. 162 al. 1 ORC est ouverte au tiers qui souhaite s'y opposer (arrêt du Tribunal fédéral 4A_306/2014 du 3 septembre 2014 consid. 6 in</w:t>
      </w:r>
    </w:p>
    <w:p>
      <w:r>
        <w:t>- 8/12 -</w:t>
      </w:r>
    </w:p>
    <w:p>
      <w:r>
        <w:t>C/22398/2019 SJ 2014 I p. 477), l'idée étant de préserver provisoirement le statu quo (FONTANET/JEANDIN, Le blocage du registre du commerce et sa validation, in: Notalex 2016, p. 56-57). L'opposition doit être formée par écrit mais il n'est pas nécessaire qu'elle soit motivée; elle doit toutefois mentionner clairement l'identité de l'opposant et expressément que le blocage du registre est requis de manière inconditionnelle, à l'encontre d'une inscription identifiable (FONTANET/JEANDIN, op. cit., p. 57 et la réf. citée). Une opposition "en bloc" à toutes futures inscriptions relatives à une société déterminée peut être admissible dans certaines situations (FONTANET/JEANDIN, op. cit., ibidem; HARI/HÄNNI, Quelques procédures particulières du droit de la société anonyme, in: La personne morale et l'entreprise en procédure, 2014, p. 118 et la réf. citée). Le blocage du registre a pour seul effet de surseoir - à titre provisoire - à l'inscription visée par l'opposition. Il empêche la publication de l'inscription et les effets qui en découlent. Les décisions dont l'inscription au registre est constitutive ne produisent ainsi pas d'effet et celles dont l'inscription n'a qu'un effet déclaratif sont privées de la protection qui y est liée (FONTANET/JEANDIN, op. cit., p. 58; HARI/HÄNNI, op. cit., p. 118-119). Le juge des mesures provisionnelles décide sans délai du blocage du registre dans une procédure sommaire (art. 162 al. 4 ORC). Le rejet de la requête de mesures provisionnelles par une décision exécutoire met fin au blocage. L'office du registre du commerce procède à l'inscription litigieuse (art. 162 al. 3 let. b ORC). Une décision de refus d'octroi d'une mesure provisionnelle de blocage du registre du commerce est exécutoire au jour de son prononcé à moins que l'instance supérieure ne restitue l'effet suspensif (art. 315 al. 4 let. b et 336 al. 1 let. a CPC; FONTANET/JEANDIN, op. cit., p. 63).</w:t>
      </w:r>
    </w:p>
    <w:p>
      <w:r>
        <w:rPr>
          <w:b/>
        </w:rPr>
        <w:t>E. 3.2</w:t>
      </w:r>
    </w:p>
    <w:p>
      <w:r>
        <w:t>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Si le procès au fond n'est pas encore pendant, elles doivent être validées par l'ouverture d'une action (art. 263 CPC; arrêt du Tribunal fédéral 5A_229/2014 du 14 mai 2014 consid. 3.1). Les mesures provisionnelles étant soumises à la procédure sommaire (art. 248 let. d CPC), avec administration restreinte des moyens de preuve (la preuve étant généralement apportée par titre, art. 254 CPC), la cognition du juge est limitée à la simple vraisemblance des faits et à un examen sommaire du droit</w:t>
      </w:r>
    </w:p>
    <w:p>
      <w:r>
        <w:t>- 9/12 -</w:t>
      </w:r>
    </w:p>
    <w:p>
      <w:r>
        <w:t>C/22398/2019 (ATF 131 III 473 consid. 2.3; 127 III 474 consid. 2b/bb; arrêt du Tribunal fédéral 5A_442/2013 du 24 juillet 2013 consid. 2.1 et 5.1).</w:t>
      </w:r>
    </w:p>
    <w:p>
      <w:r>
        <w:rPr>
          <w:b/>
        </w:rPr>
        <w:t>E. 3.3</w:t>
      </w:r>
    </w:p>
    <w:p>
      <w:r>
        <w:t>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deux conditions étant cumulatives (BOHNET, Commentaire romand, Code de procédure civile commenté, 2ème éd. 2019, n. 3 ad art. 261 CPC; FONTANET/JEANDIN, op. cit., p. 59). 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Il doit en outre rendre vraisemblable une atteinte au droit ou son imminence, sur la base d'éléments objectifs (BOHNET, op. cit., n. 10 ad art. 261 CPC). Doit également être rendu vraisemblable l'existence d'un préjudice difficilement réparable, qui peut être de nature patrimoniale ou immatérielle (Message relatif au CPC, FF 2006 p. 6961; BOHNET, op. cit., n. 11 ad art. 261 CPC; HUBER, Kommentar zur Schweizerischen Zivilprozessordnung [ZPO],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Si le droit de requérir des mesures provisionnelles ne se périme pas, la temporisation du requérant durant plusieurs mois à dater de la connaissance du dommage ou du risque peut signifier qu'une protection n'est pas nécessaire, voire constituer un abus de droit (arrêt du Tribunal fédéral 4P.263/2004 du 1er février 2005 consid. 2.2). Une requête de</w:t>
      </w:r>
    </w:p>
    <w:p>
      <w:r>
        <w:t>- 10/12 -</w:t>
      </w:r>
    </w:p>
    <w:p>
      <w:r>
        <w:t>C/22398/2019 mesures provisionnelles sera en particulier rejetée s'il s'avère qu'une procédure ordinaire introduite à temps aurait abouti à un jugement au fond dans des délais équivalents (BOHNET, op. cit., n. 12 ad art. 261 CPC et les réf. citées).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 La non réalisation des conditions à l'octroi de mesures provisionnelles conduit au rejet de la requête (ACJC/1471/2015 du 4 décembre 2015 consid. 3.1.1; ACJC/250/2015 du 6 mars 2015 consid. 4.1; ACJC/1610/2014 du 19 décembre 2014).</w:t>
      </w:r>
    </w:p>
    <w:p>
      <w:r>
        <w:rPr>
          <w:b/>
        </w:rPr>
        <w:t>E. 3.4</w:t>
      </w:r>
    </w:p>
    <w:p>
      <w:r>
        <w:t>En l'espèce, l'appelant se contente de faire valoir pêle-mêle avoir été employé de l'intimée, "l'origine de son licenciement [étant] toujours contestée" et "ayant 3% de la société, en 2019, [il] aurai[t] dû recevoir environ 14 millions de francs suisses à titre de dividende". Or, comme cela résulte de la jurisprudence rappelée ci-avant, une mesure provisionnelle ne peut cependant être accordée que dans la perspective de l'action au fond qui doit la valider et dont elle est l'accessoire. L'appelant n'a toutefois pas rendu vraisemblable être actionnaire de l'intimée. Sur ce point, il a admis devant le Tribunal ne détenir aucune action de la société et n'avoir participé à aucune assemblée générale de celle-ci. L'appelant n'a ainsi rendu vraisemblable ni l'existence de sa prétention au fond, ni la nécessité de prononcer les mesures provisionnelles requises pour protéger cette prétention. Par ailleurs, l'appelant a sollicité le blocage de "toutes inscriptions" concernant l'intimée, sans expliciter de quelles inscriptions il s'agit. Conformément à la doctrine rappelée ci-avant, le blocage du registre a trait à une inscription identifiable, les oppositions en bloc, à des inscriptions futures, n'étant admises qu'à titre exceptionnel.</w:t>
      </w:r>
    </w:p>
    <w:p>
      <w:r>
        <w:t>- 11/12 -</w:t>
      </w:r>
    </w:p>
    <w:p>
      <w:r>
        <w:t>C/22398/2019 Ainsi, l'appelant ne dispose d'aucun intérêt digne de protection à requérir des mesures provisionnelles. Il ne rend pour le surplus pas non plus vraisemblable qu'il y aurait urgence à prononcer des mesures provisionnelles, ni que l'atteinte qu'il subirait lui causerait un préjudice difficilement réparable. Par conséquent, l'ordonnance entreprise sera confirmée, par substitution de motifs.</w:t>
      </w:r>
    </w:p>
    <w:p>
      <w:r>
        <w:rPr>
          <w:b/>
        </w:rPr>
        <w:t>E. 4</w:t>
      </w:r>
    </w:p>
    <w:p>
      <w:r>
        <w:t>L'appelant, qui succombe, sera condamné aux frais judiciaires de l'appel (art. 106 al. 1 CPC), arrêtés à 800 fr. (art. 26 et 37 RTFMC) et compensés avec l'avance de frais fournie (art. 111 al. 1 CPC), laquelle demeure acquise à l'Etat de Genève. Il sera en outre condamné à verser à l'intimée des dépens d'appel de 750 fr., débours et TVA compris, à titre de dépens (art. 84, 85, 88 et 90 RTFMC; 23, 25 et 26 LaCC). * * * * *</w:t>
      </w:r>
    </w:p>
    <w:p>
      <w:r>
        <w:t>- 12/12 -</w:t>
      </w:r>
    </w:p>
    <w:p>
      <w:r>
        <w:t>C/22398/2019 PAR CES MOTIFS, La Chambre civile : Rejette, dans la mesure de sa recevabilité, l'appel interjeté le 23 décembre 2019 par A______ contre l'ordonnance OTPI/773/2019 rendue le 10 décembre 2019 par le Tribunal de première instance dans la cause C/22398/2019-4 SP. Sur les frais : Arrête les frais judiciaires d'appel à 800 fr., les met à la charge de A______ et les compense avec l'avance fournie, laquelle demeure acquise à l'Etat de Genève. Condamne A______ à verser 750 fr. de dépens d'appel à B______ SA, EN LIQUIDATION. Siégeant : Madame Pauline ERARD, présidente; Madame Sylvie DROIN et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