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ACJC/681/2015 vom 9. Juni 2015</w:t>
      </w:r>
    </w:p>
    <w:p>
      <w:r>
        <w:t>GE Cour de justice, 2015-06-09, FR</w:t>
      </w:r>
    </w:p>
    <w:p>
      <w:r>
        <w:rPr>
          <w:b/>
        </w:rPr>
        <w:t xml:space="preserve">Quelle: </w:t>
      </w:r>
      <w:r>
        <w:t>https://mcp.opencaselaw.ch/entscheid/ge_gerichte_ACJC_681_2015</w:t>
      </w:r>
    </w:p>
    <w:p>
      <w:r>
        <w:t>FR: GE_GERICHTE ACJC/681/2015 du 9 juin 2015</w:t>
      </w:r>
    </w:p>
    <w:p>
      <w:r>
        <w:t>IT: GE_GERICHTE ACJC/681/2015 del 9 giugno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- 5/11 -</w:t>
      </w:r>
    </w:p>
    <w:p>
      <w:r>
        <w:t>C/18457/2014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cf. aussi arrêt 5P.296/2005 du 17 novembre 2005 consid. 4.2.1, selon lequel il n'est pas arbitraire de considérer que seuls les vrais nova sont recevables). Il a en revanche laissé ouverte, respectivement n'a pas abordé, la question de la recevabilité des pseudo-nova. En l'espèce, la pièce nouvelle produite par le recourant, soit les bilans et comptes de pertes et profits de C______ au 31 décembre 2008, est dénuée de pertinence pour l'issue du litige, de sorte qu'il n'est pas nécessaire de trancher la question de sa recevabilité. Les pièces 6, 8 et 9 nouvelles produites par l'intimée sont recevables car postérieures au 24 novembre 2014. Les autres pièces nouvelles de l'intimée sont dénuées de pertinence pour l'issue du litige, raison pour laquelle la question de leur recevabilité peut rester ouverte.</w:t>
      </w:r>
    </w:p>
    <w:p>
      <w:r>
        <w:rPr>
          <w:b/>
        </w:rPr>
        <w:t>E. 1.3</w:t>
      </w:r>
    </w:p>
    <w:p>
      <w:r>
        <w:t>Le recours peut être formé pour violation du droit et constatation manifestement inexacte des faits (art. 320 CPC).</w:t>
      </w:r>
    </w:p>
    <w:p>
      <w:r>
        <w:rPr>
          <w:b/>
        </w:rPr>
        <w:t>E. 2</w:t>
      </w:r>
    </w:p>
    <w:p>
      <w:r>
        <w:t>Le recourant fait valoir que l'intimée n'a pas rendu vraisemblable sa créance, dans la mesure où l'obligation de payer le solde du prix des actions s'est éteinte avec le surendettement de C______ en 2007, voire sa faillite en 2011.</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w:t>
      </w:r>
    </w:p>
    <w:p>
      <w:r>
        <w:t>- 6/11 -</w:t>
      </w:r>
    </w:p>
    <w:p>
      <w:r>
        <w:t>C/18457/2014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w:t>
      </w:r>
    </w:p>
    <w:p>
      <w:r>
        <w:rPr>
          <w:b/>
        </w:rPr>
        <w:t>E. 2.2</w:t>
      </w:r>
    </w:p>
    <w:p>
      <w:r>
        <w:t>A teneur de l'art. 184 al. 1 CO, la vente est un contrat par lequel le vendeur s'oblige à livrer la chose vendue à l'acheteur et à lui en transférer la propriété, moyennent un prix que l'acheteur s'engage à lui payer.</w:t>
      </w:r>
    </w:p>
    <w:p>
      <w:r>
        <w:t>- 7/11 -</w:t>
      </w:r>
    </w:p>
    <w:p>
      <w:r>
        <w:t>C/18457/2014 Sauf convention contraire, le prix de vente est exigible aussitôt que la chose est en possession de l'acheteur (art. 213 al. 1 CO). Indépendamment des dispositions sur la demeure encourue par la seule échéance du terme, le prix de vente porte intérêts, même sans interpellation (art. 213 al. 2 CO). Selon l'art. 214 al. 3 CO, lorsque l'acheteur a été mis en possession de l'objet de la vente avant d'en avoir payé le prix, sa demeure n'autorise le vendeur à se départir du contrat et à répéter la chose que s'il s'en est expressément réservé le droit.</w:t>
      </w:r>
    </w:p>
    <w:p>
      <w:r>
        <w:rPr>
          <w:b/>
        </w:rPr>
        <w:t>E. 2.3</w:t>
      </w:r>
    </w:p>
    <w:p>
      <w:r>
        <w:t>Selon l'article 154 al. 1 CO, le contrat dont la résolution est subordonnée à l'arrivée d'un événement incertain cesse de produire ses effets dès le moment où la condition s'accomplit. L'al. 2 de cette même disposition précise qu'il n'y a point, dans la règle, d'effet rétroactif.</w:t>
      </w:r>
    </w:p>
    <w:p>
      <w:r>
        <w:t>Lorsque la condition s'accomplit, les effets du contrat cessent ipso iure. Cela signifie dès lors qu'une manifestation de volonté supplémentaire des parties n'est pas nécessaire; les effets du contrat cessent de par la loi, immédiatement, même si un terme affectait la condition. L'effet extinctif se produit même si les parties l'ignorent. On peut parler de contrat caduc pour indiquer que l'acte juridique a perdu ultérieurement un élément nécessaire à la production de ses effets (PICHONNAZ, Commentaire romand, 2012, n. 3 ad art. 154 CO). Lorsque les effets du contrat cessent, les obligations qui n'ont pas encore été exécutées s'éteignent purement et simplement (PICHONNAZ, op. cit., n. 19, ad art. 154 CO).</w:t>
      </w:r>
    </w:p>
    <w:p>
      <w:r>
        <w:rPr>
          <w:b/>
        </w:rPr>
        <w:t>E. 2.4</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w:t>
      </w:r>
    </w:p>
    <w:p>
      <w:r>
        <w:t>- 8/11 -</w:t>
      </w:r>
    </w:p>
    <w:p>
      <w:r>
        <w:t>C/18457/2014 adopté par les cocontractants lorsqu'il n'y a aucune raison sérieuse de penser que celui-ci ne correspond pas à leur volonté (ATF 136 III 186 consid. 3.2.1; arrêt du Tribunal fédéral 4A_322/2010 du 22 février 2011 consid. 5.2.2). En application de l'art. 1 al. 2 CO, la manifestation de volonté dans le cadre d'une relation contractuelle peut être tacite, en ce sens qu'elle prend la forme d'un acte concluant. La doctrine cite à titre d'exemple le cas du créancier qui accepte des paiements d'intérêts concernant une période postérieure à l'échéance pour un prêt qui était exigible mais pour lequel le débiteur souhaite obtenir une prolongation (DESSEMONTET, Commentaire romand, 2003, n. 35 ad art. 1 CO; MORIN, Commentaire romand, 2012, n. 10 ad art. 1 CO).</w:t>
      </w:r>
    </w:p>
    <w:p>
      <w:r>
        <w:rPr>
          <w:b/>
        </w:rPr>
        <w:t>E. 2.5</w:t>
      </w:r>
    </w:p>
    <w:p>
      <w:r>
        <w:t>En l'espèce, les parties ont conclu le 26 juillet 2005 un contrat de vente des actions de la société C______. En application de l'art. 4 de ce contrat, la totalité du prix de vente était exigible au 31 juillet 2008. L'obligation de l'acheteur de payer le prix des actions était quant à elle soumise à une condition résolutoire, en ce sens que, selon l'art. 4 précité, cette obligation devait s'éteindre en cas de "défaillance" de C______. La question de la date d'exigibilité du prix de vente doit ainsi être distinguée de celle du principe de l'obligation de paiement du prix, l'art. 4 du contrat de vente traitant de ces deux aspects. A cet égard, contrairement à ce que soutient l'intimée, il ne résulte pas de la lettre du contrat que les parties avaient convenu de renoncer à la condition résolutoire libérant l'acheteur du paiement du prix dans l'hypothèse où celle-ci ne se réaliserait pas avant la date d'exigibilité du prix de vente. Un accord entre les parties sur ce point ne peut par ailleurs être déduit d'aucun autre élément figurant à la procédure. Dans la mesure où, à teneur du dossier, la seule source de revenu du recourant au moment de la conclusion du contrat provenait de son activité pour la société C______, il est au contraire probable que la clause de l'art. 4 du contrat avait pour but d'éviter que le recourant ne soit tenu de continuer à effectuer des paiements au titre de l'achat des actions de la société, alors même qu'il n'en tirait plus aucun revenu et ce, indépendamment de la question de savoir si l'entier du prix serait ou non effectivement acquitté au 31 juillet 2008. De plus, il convient de retenir qu'en omettant de réclamer le paiement de l'entier du prix de vente dès son exigibilité et en acceptant sans aucune réserve les paiements d'acomptes que le recourant a continué à effectuer après le 1er août 2008, l'intimée a accepté par, actes concluant, de reporter la date d'exigibilité du</w:t>
      </w:r>
    </w:p>
    <w:p>
      <w:r>
        <w:t>- 9/11 -</w:t>
      </w:r>
    </w:p>
    <w:p>
      <w:r>
        <w:t>C/18457/2014 solde du prix de vente. Ce n'est en effet que le 15 septembre 2014, en déposant sa requête de séquestre, que l'intimée a manifesté pour la première fois son intention de réclamer au recourant le solde du prix de vente. Au stade de la vraisemblance, il apparaît ainsi que tant l'obligation du recourant de s'acquitter du prix de vente, que la condition résolutoire affectant cette obligation, ont perduré après le 31 juillet 2008.</w:t>
      </w:r>
    </w:p>
    <w:p>
      <w:r>
        <w:t>Il n'est dès lors pas nécessaire de trancher la question de savoir si le terme "défaillance" de C______ visait, comme le soutient l'intimée, le seul cas de la faillite, ou également une situation d'insolvabilité, comme le prétend le recourant. En effet, dans la mesure où les deux parties admettent que la condition résolutoire s'est réalisée par le prononcé de la faillite, il en résulte que le recourant a rendu vraisemblable que la créance de l'intimée s'est éteinte au plus tard le 14 novembre 2011, date du prononcé de la faillite, dès laquelle il était délié de son obligation de s'acquitter du solde du prix de vente.</w:t>
      </w:r>
    </w:p>
    <w:p>
      <w:r>
        <w:t>Compte tenu de ce qui précède, l'intimée n'a pas rendu vraisemblable qu'elle était créancière du recourant à la date du dépôt de la requête de séquestre le 15 septembre 2014. 3. L'intimée fait valoir que le recourant abuse de son droit en se prévalant de l'extinction de son obligation du fait de la faillite de C______, car il l'a dissuadée d'agir à temps en lui promettant à plusieurs reprises de payer le solde du prix de vente.</w:t>
      </w:r>
    </w:p>
    <w:p>
      <w:r>
        <w:t>3.1 Selon l'art. 2 al. 1 CC, chacun est tenu d'exercer ses droits et d'exécuter ses obligations selon les règles de la bonne foi.</w:t>
      </w:r>
    </w:p>
    <w:p>
      <w:r>
        <w:t>L'abus manifeste d'un droit n'est pas protégé par la loi (art. 2 al. 2 CC).</w:t>
      </w:r>
    </w:p>
    <w:p>
      <w:r>
        <w:t>Il peut y avoir abus de droit lorsque le débiteur a eu, même sans mauvaise intention, une attitude qui a engagé le créancier à ne pas agir à temps (ATF 106 Ib 231 consid. 2d, JT 1982 I 38), pour autant que l'inaction du créancier se comprenne d'un point de vue objectif (ATF 89 II 256 consid. 4, JT 1964 I 151; 131 III 430 consid. 2, JT 2005 I 479), 3.2 En l'espèce, dans la mesure où le prix n'a pas été payé à la date convenue du 31 juillet 2008, l'intimée aurait pu, dès cette échéance, poursuivre le recouvrement du prix de vente et se prévaloir des dispositions sur la demeure (art. 102 ss CO) à l'exclusion du droit de se départir du contrat et de répéter la chose, à défaut de s'en être expressément réservé le droit conformément à l'art. 214 al. 3 CO. Elle n'en a cependant rien fait.</w:t>
      </w:r>
    </w:p>
    <w:p>
      <w:r>
        <w:t>- 10/11 -</w:t>
      </w:r>
    </w:p>
    <w:p>
      <w:r>
        <w:t>C/18457/2014 En se fondant sur les pièces produites, l'on ne saurait retenir, au stade de la vraisemblance, qu'elle en a été dissuadée par le recourant de manière abusive. En effet, le recourant ne lui a pas caché les difficultés de C______. Il en a au contraire clairement fait état en juin 2010, pour expliquer le retard dans le paiement des acomptes. En octobre 2010, le recourant a souligné la gravité de la situation, relevant que tout ce qu'il avait fait avait échoué, que ses comptes étaient bloqués et qu'il ne pourrait pas payer quoi que ce soit avant novembre, "et encore, à condition" qu'il "arrive à vendre quelque chose". Dès octobre 2010, l'intimée était ainsi au courant du risque de défaillance de C______. Rien ne l'empêchait, dès ce moment, de faire valoir ses droits et de poursuivre le recouvrement de sa créance, ce qu'elle a cependant renoncé à faire, s'abstenant de toute démarche jusqu'en septembre 2014. Cette omission n'est ainsi pas imputable au recourant de sorte que l'existence d'un abus de droit de la part de celui-ci ne saurait être retenue.</w:t>
      </w:r>
    </w:p>
    <w:p>
      <w:r>
        <w:t>Le recours sera dès lors admis, le jugement attaqué annulé et le séquestre révoqué. 4. L'intimée, qui succombe, supportera les frais de première instance et de recours (art. 106 al. 1 CPC). Les frais judiciaires seront fixés à 1'750 fr. au total (1'000 fr. pour la première instance et 750 fr. pour la seconde instance; art. 48 et 61 al. 1 OELP). Ils seront compensés avec les avances de frais effectuées par les parties, soit 1'250 fr. par le recourant et 500 fr. par l'intimée (art. 111 al. 1 CPC), qui restent acquises à l'Etat de Genève. L'intimée sera, dès lors, condamnée à rembourser au recourant la somme de 1'250 fr. qu'il a versée à titre d'avances de frais (art. 111 al. 2 CPC). Elle sera en outre condamnée à lui verser 4'700 fr. à titre de dépens pour les deux instances, débours et TVA compris, soit 1'700 fr. pour les dépens de première instance, lesquels ne sont pas contestés, et 3'000 fr. pour les dépens de recours (art. 105 al. 2, 106 al. 1, 111 al. 2 CPC, art. 85, 89 et 90 RTFMC, art. 25 et 26 LaCC). * * * * *</w:t>
      </w:r>
    </w:p>
    <w:p>
      <w:r>
        <w:t>- 11/11 -</w:t>
      </w:r>
    </w:p>
    <w:p>
      <w:r>
        <w:t>C/18457/2014 PAR CES MOTIFS, La Chambre civile : A la forme : Déclare recevable le recours interjeté par A______ contre le jugement OSQ/2/2015 rendu le 19 janvier 2015 par le Tribunal de première instance dans la cause C/18457/2014-19 SQP. Au fond : Annule ce jugement. Cela fait, statuant à nouveau : Révoque le séquestre n° 14 070 418 S ordonné par le Tribunal de première instance le 16 septembre 2014. Déboute les parties de toutes autres conclusions. Sur les frais : Arrête les frais judiciaires de première instance et de recours à 1'750 fr., les met à la charge de B______ et les compense avec les avances fournies qui restent acquises à l'Etat de Genève. Condamne B______ à verser 1'250 fr. à A______ au titre des frais judiciaires. La condamne en outre à lui verser 4'700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ss de la loi sur le Tribunal fédéral du 17 juin 2005 (LTF; RS 173.110).</w:t>
      </w:r>
    </w:p>
    <w:p>
      <w:r>
        <w:t>Le recours doit être adressé au Tribunal fédéral, 1000 Lausanne 14.</w:t>
      </w:r>
    </w:p>
    <w:p>
      <w:r>
        <w:t>Valeur litigieuse des conclusions pécuniaires au sens de la LTF supérieure ou égale à 30'000 fr.</w:t>
      </w:r>
    </w:p>
    <w:p>
      <w:r>
        <w:rPr>
          <w:b/>
        </w:rPr>
        <w:t>E. 5</w:t>
      </w:r>
    </w:p>
    <w:p>
      <w:r>
        <w:t>mars 2012 consid. 2.1).</w:t>
      </w:r>
    </w:p>
    <w:p>
      <w:r>
        <w:t>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 4 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