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ACJC/679/2021 vom 17. Mai 2013</w:t>
      </w:r>
    </w:p>
    <w:p>
      <w:r>
        <w:t>GE Cour de justice, 2013-05-17, FR</w:t>
      </w:r>
    </w:p>
    <w:p>
      <w:r>
        <w:rPr>
          <w:b/>
        </w:rPr>
        <w:t xml:space="preserve">Quelle: </w:t>
      </w:r>
      <w:r>
        <w:t>https://mcp.opencaselaw.ch/entscheid/ge_gerichte_ACJC_679_2021</w:t>
      </w:r>
    </w:p>
    <w:p>
      <w:r>
        <w:t>FR: GE_GERICHTE ACJC/679/2021 du 17 mai 2013</w:t>
      </w:r>
    </w:p>
    <w:p>
      <w:r>
        <w:t>IT: GE_GERICHTE ACJC/679/2021 del 17 maggio 2013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 litige portant exclusivement sur le montant des contributions d'entretien, il est de nature pécuniaire (ATF 133 III 393 consid. 2; arrêt du Tribunal fédéral 5A_782/2019 du 15 juin 2020 consid. 1.1). Compte tenu de la capitalisation du montant des contributions d'entretien restées litigieuses, la valeur litigieuse est supérieure à 10'000 fr. (art. 92 al. 2 CPC; 308 al. 1 let. a et 2 CPC), de sorte que la voie de l'appel est ouverte.</w:t>
      </w:r>
    </w:p>
    <w:p>
      <w:r>
        <w:rPr>
          <w:b/>
        </w:rPr>
        <w:t>E. 1.2</w:t>
      </w:r>
    </w:p>
    <w:p>
      <w:r>
        <w:t>L'appel a été interjeté dans le délai de trente jours (art. 311 al. 1 et 142 al. 3 CPC) et suivant la forme prescrite par la loi (art. 130, 131, 311 al. 1 CPC). Il est ainsi recevable.</w:t>
      </w:r>
    </w:p>
    <w:p>
      <w:r>
        <w:rPr>
          <w:b/>
        </w:rPr>
        <w:t>E. 1.3</w:t>
      </w:r>
    </w:p>
    <w:p>
      <w:r>
        <w:t>La Cour revoit la cause en fait et en droit avec un plein pouvoir d'examen (art. 310 CPC).</w:t>
      </w:r>
    </w:p>
    <w:p>
      <w:r>
        <w:t>- 8/13 -</w:t>
      </w:r>
    </w:p>
    <w:p>
      <w:r>
        <w:t>C/26597/2019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5A_524/2017 du 9 octobre 2017 consid. 3.1). Lorsqu'un enfant devient majeur en cours de procédure, l'application des maximes d'office et inquisitoire illimitée perdure pour la fixation de sa contribution d'entretien (ATF 129 III 55 consid. 3.1.2; arrêts du Tribunal fédéral 5A_524/2017 précité consid. 3.2.2) Toutefois, les parties ne sont pas dispensées de collaborer activement à la procédure et d'étayer leurs propres thèses en renseignant le juge sur les faits de la cause et en lui indiquant les moyens de preuve disponibles (ATF 130 III 102 consid. 2.2; arrêt du Tribunal fédéral 5A_170/2020 du 26 janvier 2021 consid. 5.3)</w:t>
      </w:r>
    </w:p>
    <w:p>
      <w:r>
        <w:rPr>
          <w:b/>
        </w:rPr>
        <w:t>E. 2</w:t>
      </w:r>
    </w:p>
    <w:p>
      <w:r>
        <w:t>Les parties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nouvelles produites par les parties sont susceptibles d'influencer la décision quant aux montants des contributions d'entretien de leurs enfants, si bien qu'elles sont recevables, de même que les faits auxquels elles se rapportent.</w:t>
      </w:r>
    </w:p>
    <w:p>
      <w:r>
        <w:rPr>
          <w:b/>
        </w:rPr>
        <w:t>E. 3</w:t>
      </w:r>
    </w:p>
    <w:p>
      <w:r>
        <w:t>L'appelante reproche au Tribunal d'avoir considéré que les conditions permettant une modification du jugement de divorce n'étaient pas remplies et, subsidiairement, d'avoir procédé à un calcul erroné de la situation financière des parties.</w:t>
      </w:r>
    </w:p>
    <w:p>
      <w:r>
        <w:t>3.1.1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w:t>
      </w:r>
    </w:p>
    <w:p>
      <w:r>
        <w:t>- 9/13 -</w:t>
      </w:r>
    </w:p>
    <w:p>
      <w:r>
        <w:t>C/26597/2019 de l'adapter aux circonstances nouvelles (ATF 137 III 604 consid. 4.1.1 et les références; arrêt du Tribunal fédéral 5A_230/2019 du 31 janvier 2020 consid. 6.1).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et les références; arrêt du Tribunal fédéral 5A_230/2019 précité). Le moment déterminant pour apprécier si des circonstances nouvelles se sont produites est la date du dépôt de la demande de modification du jugement de divorce (ATF 137 III 604 consid. 4.1.1 et la référence; arrêt du Tribunal fédéral 5A_230/2019 précité). Dès lors que le Tribunal statue sur les questions relatives aux enfants sans être lié par les conclusions des parties (cf. supra 1.3), une convention des époux sur le sort des enfants ne le lie pas, mais possède plutôt le caractère d'une conclusion commune, dont le Tribunal tient compte dans sa décision (ATF 143 III 361 consid. 7.3.1; arrêts du Tribunal fédéral 5A_1031/2019 du 26 juin 2020 consid. 2.2; 5A_915/2018 du 15 mai 2019 consid. 3.3) et ce, même lorsqu'elle intervient sous la forme d'une convention de divorce (arrêt du Tribunal fédéral 5A_915/2018 du 15 mai 2019 consid. 3.3). En cas de demande de modification, il convient ainsi de distinguer les questions touchant les époux, soumises cas échéant à des mesures restrictives si les parties avaient conclu une convention (art. 279 CPC par analogie), des questions relatives aux enfants sur lesquelles le tribunal statue d'office (arrêt du Tribunal fédéral 5A_1031/2019 du 26 juin 2020 consid. 2.2 et 5.1).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5A_230/2019 précité et les références).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w:t>
      </w:r>
    </w:p>
    <w:p>
      <w:r>
        <w:t>- 10/13 -</w:t>
      </w:r>
    </w:p>
    <w:p>
      <w:r>
        <w:t>C/26597/2019 arrêt du Tribunal fédéral 5A_230/2019 précité et les références). Pour que le juge puisse procéder à cette actualisation, il n'est pas nécessaire que la modification survenue dans ces autres éléments constitue également un fait nouveau (ATF 138 III 289 consid. 11.1.1; arrêt du Tribunal fédéral 5A_230/2019 précité et les références). Une modification du jugement de divorce ne se justifie en outre que lorsque la différence entre le montant de la contribution d'entretien nouvellement calculée et celle initialement fixée est d'une ampleur suffisante (arrêt du Tribunal fédéral 5A_230/2019 précité et les références). La modification du jugement de divorce prend en principe effet à la date du dépôt de la demande. Selon les circonstances, il est toutefois possible de retenir une date ultérieure, notamment lorsque la restitution des contributions allouées par le jugement de divorce et utilisées pendant la durée de la procédure ne peut équitablement être exigée (ATF 117 II 368 consid. 4c; arrêt du Tribunal fédéral 5A_230/2019 précité et les références).</w:t>
      </w:r>
    </w:p>
    <w:p>
      <w:r>
        <w:rPr>
          <w:b/>
        </w:rPr>
        <w:t>E. 3.2</w:t>
      </w:r>
    </w:p>
    <w:p>
      <w:r>
        <w:t>En l'espèce, lors du prononcé du jugement de divorce (17 mai 2013), les parties et leurs enfants étaient domiciliés en France. Depuis l'été 2019, ils vivent tous en Suisse, situation qui n'avait pas été envisagée lors du prononcé du divorce, dès lors que le jugement français ne contient aucune référence à un possible déménagement de l'une ou l'autre des parties. Celles-ci ont d'ailleurs attendu plusieurs années avant de s'installer en Suisse, de sorte que l'on ne saurait retenir que le jugement français a tenu compte de cette éventualité. Le déménagement de toutes les parties en Suisse a eu pour conséquence de modifier leurs revenus mais aussi leurs charges, puisque les enfants doivent désormais s'acquitter de primes d'assurance-maladie et que le coût de leur entretien de base est plus important. L'ensemble des charges des trois enfants peut être estimé à plus de 2'000 fr. par mois compte tenu de leur entretien de base, des frais d'assurance-maladie et de transport, sous déductions des allocations familiales, tandis que la contribution versée à leur entretien par l'intimé s'élève actuellement à 1'237 fr. 50 (EUR 1'125). Cela contraint ainsi l'appelante à prendre en charge une part importante des frais des enfants, en sus de leur prise en charge en nature. Il existe donc un déséquilibre dans leur prise en charge résultant de leur déménagement en Suisse, qui justifie qu'il soit statué à nouveau sur le montant des contributions d'entretien dues par l'intimé en tenant compte de tous les faits nouveaux, y compris la dernière paternité de l'intimé. Dès lors qu'il avait considéré que les conditions d'une modification du jugement de divorce n'étaient pas remplies, le Tribunal n'a pas procédé au calcul des montants des contributions dues. Aussi, pour que les parties ne soient pas privées de la garantie du double degré de juridiction (ATF 137 I 195 consid. 2.7), la cause sera renvoyée au premier juge (art. 318 al. 1 let. c ch. 1 CPC) pour qu'il statue sur les montants des contributions d'entretien des enfants.</w:t>
      </w:r>
    </w:p>
    <w:p>
      <w:r>
        <w:t>- 11/13 -</w:t>
      </w:r>
    </w:p>
    <w:p>
      <w:r>
        <w:t>C/26597/2019</w:t>
      </w:r>
    </w:p>
    <w:p>
      <w:r>
        <w:rPr>
          <w:b/>
        </w:rPr>
        <w:t>E. 4.1</w:t>
      </w:r>
    </w:p>
    <w:p>
      <w:r>
        <w:t>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w:t>
      </w:r>
    </w:p>
    <w:p>
      <w:r>
        <w:rPr>
          <w:b/>
        </w:rPr>
        <w:t>E. 4.2</w:t>
      </w:r>
    </w:p>
    <w:p>
      <w:r>
        <w:t>Les frais judiciaires de la procédure d'appel seront fixés à 1'000 fr. (art. 95 al. 2 et 105 al. 1 CPC; art. 30 et 35 RTFMC). Compte tenu de l'issue du litige, il se justifie de les mettre intégralement à la charge de l'intimé, qui succombe sur le principe de la modification du jugement de divorce (art. 107 al. 1 let. c CPC). Ils seront compensés avec l'avance de frais de 1'000 fr. fournie par l'appelante, qui reste acquise à l'Etat de Genève. L'intimé sera par conséquent condamné à lui verser la somme de 1'000 fr. (art. 111 al. 1 et 2 CPC). Les parties conserveront à leur charge leurs propres dépens d'appel, vu la nature familiale du litige (art. 107 al. 1 let. c CPC). * * * * *</w:t>
      </w:r>
    </w:p>
    <w:p>
      <w:r>
        <w:t>- 12/13 -</w:t>
      </w:r>
    </w:p>
    <w:p>
      <w:r>
        <w:t>C/26597/2019 PAR CES MOTIFS, La Chambre civile : A la forme : Déclare recevable l'appel interjeté le 2 novembre 2020 par A______ contre le jugement JTPI/11800/2020 rendu le 25 septembre 2020 par le Tribunal de première instance dans la cause C/26597/2019-13. Au fond : Annule le chiffre 2 du dispositif de ce jugement et cela fait : Renvoie la cause au Tribunal de première instance pour qu'il statue sur les montants des contributions d'entretien dues aux enfants C______, D______ et E______. Confirme le jugement entrepris pour le surplus. Déboute les parties de toutes autres conclusions. Sur les frais : Arrête les frais judiciaires d'appel à 1'000 fr., dit qu'ils sont entièrement compensés avec l'avance fournie par A______, qui demeure acquise à l'Etat de Genève, et les met à la charge de B______. Condamne en conséquence B______ à verser 1'000 fr. à A______ à titre de remboursement des frais judiciaires d'appel. Dit que chaque partie supporte ses propres dépens d'appel. Siégeant : Monsieur Cédric-Laurent MICHEL, président; Madame Pauline ERARD, Madame Paola CAMPOMAGNANI, juges; Madame Roxane DUCOMMUN, greffière.</w:t>
      </w:r>
    </w:p>
    <w:p>
      <w:r>
        <w:t>Le président : Cédric-Laurent MICHEL La greffière : Roxane DUCOMMUN</w:t>
      </w:r>
    </w:p>
    <w:p>
      <w:r>
        <w:t>- 13/13 -</w:t>
      </w:r>
    </w:p>
    <w:p>
      <w:r>
        <w:t>C/26597/2019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