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ACJC/674/2016 vom 29. Juni 2015</w:t>
      </w:r>
    </w:p>
    <w:p>
      <w:r>
        <w:t>GE Cour de justice, 2015-06-29, FR</w:t>
      </w:r>
    </w:p>
    <w:p>
      <w:r>
        <w:rPr>
          <w:b/>
        </w:rPr>
        <w:t xml:space="preserve">Quelle: </w:t>
      </w:r>
      <w:r>
        <w:t>https://mcp.opencaselaw.ch/entscheid/ge_gerichte_ACJC_674_2016</w:t>
      </w:r>
    </w:p>
    <w:p>
      <w:r>
        <w:t>FR: GE_GERICHTE ACJC/674/2016 du 29 juin 2015</w:t>
      </w:r>
    </w:p>
    <w:p>
      <w:r>
        <w:t>IT: GE_GERICHTE ACJC/674/2016 del 29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du logement, charges comprises, s'élève à 9'624 fr.</w:t>
      </w:r>
    </w:p>
    <w:p>
      <w:r>
        <w:t>En prenant en compte la durée de trois ans,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 2. L'appelante conclut nouvellement, à titre subsidiaire, à l'octroi d'une prolongation de quatre ans, échéant le 30 octobre 2017. Elle avait en effet dernièrement conclu, devant les premiers juges, à une première prolongation de trois ans, soit jusqu'au 31 mars 2017.</w:t>
      </w:r>
    </w:p>
    <w:p>
      <w:r>
        <w:t>2.1 Selon l'art. 317 al. 2 CPC, la demande ne peut être modifiée en appel que si la modification repose sur des faits ou des moyens de preuve nouveaux et si les conditions fixées à l'art. 227 al. 1 CPC sont remplies.</w:t>
      </w:r>
    </w:p>
    <w:p>
      <w:r>
        <w:t>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w:t>
      </w:r>
    </w:p>
    <w:p>
      <w:r>
        <w:t>2.2 En l'espèce, la conclusion de l'appelante en prolongation unique d'une durée de quatre ans, échéant au 30 octobre 2017, est irrecevable, car nouvelle sans que ne soient allégués des faits ou moyens de preuve nouveaux. 3. L'appelante reproche aux premiers juges une appréciation inexacte et incomplète des faits. Elle soutient qu'au moment de la résiliation, la bailleresse ignorait la situation de la locataire, qui était d'ailleurs incertaine, et qu'en conséquence le motif allégué n'était qu’un prétexte, les intérêts en présence étant de surcroît disproportionnés. Le motif réel était économique, la bailleresse souhaitant doubler le loyer. En clôturant l'administration des preuves sans donner à la locataire la possibilité de prouver ce qui précède, le Tribunal avait violé son droit d'être entendu.</w:t>
      </w:r>
    </w:p>
    <w:p>
      <w:r>
        <w:t>3.1 Le congé est annulable lorsqu'il contrevient aux règles de la bonne foi (art. 271 al. 1 CO). Pour que le congé soit annulable, il n'est pas nécessaire que l'attitude de la partie qui résilie puisse être qualifiée d'abus manifeste de droit au sens de l'art. 2 al. 2 CC.</w:t>
      </w:r>
    </w:p>
    <w:p>
      <w:r>
        <w:t>Toute résiliation qui ne repose sur aucun intérêt digne de protection, qui consacre une attitude déloyale, qui résulte d'une disproportion manifeste entre les intérêts</w:t>
      </w:r>
    </w:p>
    <w:p>
      <w:r>
        <w:t>- 7/11 -</w:t>
      </w:r>
    </w:p>
    <w:p>
      <w:r>
        <w:t>C/25650/2013 en présence ou dont le motif est manifestement un prétexte, tombe sous le coup de l'art. 271 al. 1 CO (LACHAT, Le bail à loyer, Lausanne, 2008, pp. 733-734).</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arrêt du Tribunal fédéral 4A.322/2007 du 12 novembre 2007 consid. 6; LACHAT, Commentaire romand, no 6 ad art. 271 CO). La notion de bonne foi ne se confond pas avec les justes motifs des art. 257f ou 266g CO (BARBEY, Commentaire du droit du bail,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no 43b).</w:t>
      </w:r>
    </w:p>
    <w:p>
      <w:r>
        <w:t>Est contraire aux règles de la bonne foi une résiliation qui ne correspond à aucun intérêt digne de protection et apparaît comme une chicane, ainsi qu'un congé qui consacre une attitude déloyale (LACHAT, Le bail à loyer, Lausanne, 2008, p. 733). La motivation du congé ne constitue pas une condition de sa validité; l'absence de motivation véridique ou complète peut toutefois constituer un indice que le motif réel du congé est contraire à la bonne foi (ATF 125 III 231 consid. 4b; BARBEY, op. cit., nos 290 et 319; Commentaire USPI, no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w:t>
      </w:r>
    </w:p>
    <w:p>
      <w:r>
        <w:t>La jurisprudence reconnaît au bailleur le droit de disposer de son bien de la manière qu'il juge la plus conforme à ses intérêts (arrêt du Tribunal fédéral 4A_557/2009 du 23 mars 2010 consid. 3; BARBEY, Protection contre les congés concernant les baux d'habitation et de locaux commerciaux, 1991, no 36, p. 120). En particulier, est juridiquement protégé l'intérêt du bailleur à conclure avec un locataire de son choix, à obtenir d'un nouveau locataire un loyer supérieur, mais non abusif, ou encore à pouvoir loger dans le futur un membre de sa famille (ACJC/626/2004 du 26 mai 2004).</w:t>
      </w:r>
    </w:p>
    <w:p>
      <w:r>
        <w:t>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w:t>
      </w:r>
    </w:p>
    <w:p>
      <w:r>
        <w:t>- 8/11 -</w:t>
      </w:r>
    </w:p>
    <w:p>
      <w:r>
        <w:t>C/25650/2013 (LACHAT, op. cit., pp. 730-731). La motivation doit être donnée dans le respect des règles de la bonne foi. En particulier, les motifs doivent être vrais (LACHAT, op. cit., p. 732; BOHNET/MONTINI, Droit du bail à loyer, Commentaire pratique, Bâle, 2010, no 22 ad art. 271 CO). Si le motif du congé cesse d'exister par la suite, la résiliation n'en demeure pas moins valable (arrêt du Tribunal fédéral 4A_545/2013 du 28 novembre 2013 consid. 3.2.3).</w:t>
      </w:r>
    </w:p>
    <w:p>
      <w:r>
        <w:t>Le bien-fondé de la résiliation doit être apprécié au moment où son auteur manifeste sa volonté de mettre un terme au contrat (DB 2006 p. 42; LACHAT, Commentaire romand, no 12 ad art. 271 CO).</w:t>
      </w:r>
    </w:p>
    <w:p>
      <w:r>
        <w:t>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(ACJC/334/2002 du 18 mars 2002; BARBEY, op. cit., no 202).</w:t>
      </w:r>
    </w:p>
    <w:p>
      <w:r>
        <w:t>3.2 En l'espèce, au vu des pièces produites et des témoignages recueillis, il est établi que la bailleresse a été informée des problèmes de santé de la locataire et de son hospitalisation pour une longue durée durant l'été 2013, ainsi que de l'installation de la fille de la locataire dans l'appartement à fin août 2013. En revanche, il n'est pas démontré qu'au moment de la résiliation, le motif allégué par la bailleresse était réalisé, à savoir que la locataire n'occupait plus les locaux loués de manière définitive. Au contraire, il ressort de la procédure qu'à cette date, la situation était encore incertaine et dépendait de l'évolution de l'état de santé de la locataire. Le souhait de celle-ci de retourner vivre dans l'appartement dans lequel elle avait passé plus de quarante ans demeurait intact. La bailleresse a admis qu'au moment de la résiliation elle ne s'était pas renseignée sur la situation de la locataire. Ce n'est qu'en décembre 2013, soit plusieurs semaines après la résiliation, qu'elle a pris des renseignements auprès de l'Office cantonal de la population et constaté que la locataire était domiciliée à l'EMS D______, ce qui n'exclut d'ailleurs pas encore que celle-ci ne retourne plus dans son appartement.</w:t>
      </w:r>
    </w:p>
    <w:p>
      <w:r>
        <w:t>Les voisins ont confirmé que malgré son hospitalisation et son placement en EMS, la locataire revenait régulièrement passer du temps dans son appartement, même sans y rester la nuit, preuve de son attachement bien compréhensible à ce lieu, et de sa volonté d'y revenir, même si cela n'était pas possible dans un avenir immédiat.</w:t>
      </w:r>
    </w:p>
    <w:p>
      <w:r>
        <w:t>- 9/11 -</w:t>
      </w:r>
    </w:p>
    <w:p>
      <w:r>
        <w:t>C/25650/2013</w:t>
      </w:r>
    </w:p>
    <w:p>
      <w:r>
        <w:t>Il a également été établi par la procédure qu'à tout le moins jusqu'en octobre 2013, le loyer a été payé par la locataire elle-même et non par sa fille, ce qui constitue un indice supplémentaire d'une situation encore incertaine à ce moment-là. Il apparaît ainsi que la fille de la locataire est venue à Genève au chevet de sa mère, avec l'intention de demeurer dans cette ville, et que dans un premier temps, pour des raisons pratiques, elle s'est installée dans l'appartement de celle-ci, dans l'attente de voir évoluer la situation.</w:t>
      </w:r>
    </w:p>
    <w:p>
      <w:r>
        <w:t>Il ressort des considérations qui précèdent que, contrairement à ce qu'ont retenu les premiers juges, le motif allégué à l'appui de la résiliation n'existait pas au moment où celle-ci a été signifiée. Même à admettre qu'il ait existé, il n'a pas été démontré que la bailleresse en avait connaissance au moment de l'envoi de la résiliation. Au contraire, celle-ci a admis ignorer ce qu'il en était précisément. Le congé apparaît ainsi à tout le moins prématuré et contraire à la bonne foi, de sorte qu'il doit être annulé.</w:t>
      </w:r>
    </w:p>
    <w:p>
      <w:r>
        <w:t>Il n'est en conséquence pas nécessaire d'examiner les autres griefs soulevés par l'appelante.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- 10/11 -</w:t>
      </w:r>
    </w:p>
    <w:p>
      <w:r>
        <w:t>C/25650/2013 PAR CES MOTIFS, La Chambre des baux et loyers : A la forme : Déclare recevable l'appel interjeté le 2 septembre 2015 par A______ contre le jugement JTBL/807/2015 rendu le 29 juin 2015 par le Tribunal des baux et loyers dans la cause C/25650/2013-2. Au fond : Annule ledit jugement et, statuant à nouveau : Annule le congé donné le 30 octobre 2013 pour le 31 mars 2014 par B______ à A______ pour l'appartement de cinq pièces au 3ème étage de l'immeuble sis 1______ à ______ (GE). Déboute les parties de toutes autres conclusions. Dit que la procédure est gratuite. Siégeant : Madame Fabienne GEISINGER-MARIETHOZ, présidente; Madame Pauline ERARD, Monsieur Ivo BUETTI, juges; Madame Laurence CRUCHON, Monsieur Serge PATEK, juges assesseurs; Madame Maïté VALENTE, greffière.</w:t>
      </w:r>
    </w:p>
    <w:p>
      <w:r>
        <w:t>La présidente : Fabienne GEISINGER- MARIETHOZ</w:t>
      </w:r>
    </w:p>
    <w:p>
      <w:r>
        <w:t>La greffière : Maïté VALENTE</w:t>
      </w:r>
    </w:p>
    <w:p>
      <w:r>
        <w:t>- 11/11 -</w:t>
      </w:r>
    </w:p>
    <w:p>
      <w:r>
        <w:t>C/25650/2013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